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heme="minorEastAsia" w:hAnsiTheme="minorEastAsia"/>
          <w:b/>
          <w:bCs/>
          <w:sz w:val="36"/>
          <w:szCs w:val="36"/>
        </w:rPr>
      </w:pPr>
      <w:r>
        <w:rPr>
          <w:rFonts w:hint="eastAsia" w:asciiTheme="minorEastAsia" w:hAnsiTheme="minorEastAsia"/>
          <w:b/>
          <w:bCs/>
          <w:sz w:val="36"/>
          <w:szCs w:val="36"/>
        </w:rPr>
        <w:t>第</w:t>
      </w:r>
      <w:r>
        <w:rPr>
          <w:rFonts w:hint="eastAsia" w:asciiTheme="minorEastAsia" w:hAnsiTheme="minorEastAsia"/>
          <w:b/>
          <w:bCs/>
          <w:sz w:val="36"/>
          <w:szCs w:val="36"/>
          <w:lang w:val="en-US" w:eastAsia="zh-CN"/>
        </w:rPr>
        <w:t>3</w:t>
      </w:r>
      <w:r>
        <w:rPr>
          <w:rFonts w:hint="eastAsia" w:asciiTheme="minorEastAsia" w:hAnsiTheme="minorEastAsia"/>
          <w:b/>
          <w:bCs/>
          <w:sz w:val="36"/>
          <w:szCs w:val="36"/>
        </w:rPr>
        <w:t>稿</w:t>
      </w:r>
    </w:p>
    <w:p>
      <w:pPr>
        <w:spacing w:line="500" w:lineRule="exact"/>
        <w:jc w:val="center"/>
        <w:rPr>
          <w:rFonts w:asciiTheme="minorEastAsia" w:hAnsiTheme="minorEastAsia"/>
          <w:b/>
          <w:bCs/>
          <w:sz w:val="36"/>
          <w:szCs w:val="36"/>
        </w:rPr>
      </w:pPr>
    </w:p>
    <w:p>
      <w:pPr>
        <w:spacing w:line="500" w:lineRule="exact"/>
        <w:jc w:val="center"/>
        <w:rPr>
          <w:rFonts w:asciiTheme="minorEastAsia" w:hAnsiTheme="minorEastAsia"/>
          <w:b/>
          <w:bCs/>
          <w:sz w:val="36"/>
          <w:szCs w:val="36"/>
        </w:rPr>
      </w:pPr>
      <w:r>
        <w:rPr>
          <w:rFonts w:hint="eastAsia" w:asciiTheme="minorEastAsia" w:hAnsiTheme="minorEastAsia"/>
          <w:b/>
          <w:bCs/>
          <w:sz w:val="36"/>
          <w:szCs w:val="36"/>
        </w:rPr>
        <w:t>湛江市先进制造业发展专项资金（普惠性制造业</w:t>
      </w:r>
    </w:p>
    <w:p>
      <w:pPr>
        <w:spacing w:line="500" w:lineRule="exact"/>
        <w:jc w:val="center"/>
        <w:rPr>
          <w:rFonts w:asciiTheme="minorEastAsia" w:hAnsiTheme="minorEastAsia"/>
          <w:b/>
          <w:bCs/>
          <w:sz w:val="36"/>
          <w:szCs w:val="36"/>
        </w:rPr>
      </w:pPr>
      <w:r>
        <w:rPr>
          <w:rFonts w:hint="eastAsia" w:asciiTheme="minorEastAsia" w:hAnsiTheme="minorEastAsia"/>
          <w:b/>
          <w:bCs/>
          <w:sz w:val="36"/>
          <w:szCs w:val="36"/>
        </w:rPr>
        <w:t>投资奖励）管理实施细则</w:t>
      </w:r>
    </w:p>
    <w:p>
      <w:pPr>
        <w:spacing w:line="500" w:lineRule="exact"/>
        <w:jc w:val="center"/>
        <w:rPr>
          <w:rFonts w:asciiTheme="minorEastAsia" w:hAnsiTheme="minorEastAsia"/>
          <w:b/>
          <w:bCs/>
          <w:sz w:val="36"/>
          <w:szCs w:val="36"/>
        </w:rPr>
      </w:pPr>
      <w:r>
        <w:rPr>
          <w:rFonts w:hint="eastAsia" w:asciiTheme="minorEastAsia" w:hAnsiTheme="minorEastAsia"/>
          <w:b/>
          <w:bCs/>
          <w:sz w:val="36"/>
          <w:szCs w:val="36"/>
        </w:rPr>
        <w:t>（征求意见稿）</w:t>
      </w:r>
    </w:p>
    <w:p>
      <w:pPr>
        <w:spacing w:line="500" w:lineRule="exact"/>
        <w:jc w:val="center"/>
        <w:rPr>
          <w:rFonts w:ascii="仿宋_GB2312" w:hAnsi="Times New Roman" w:eastAsia="仿宋_GB2312" w:cs="Times New Roman"/>
          <w:color w:val="000000" w:themeColor="text1"/>
          <w:sz w:val="32"/>
          <w:szCs w:val="32"/>
          <w14:textFill>
            <w14:solidFill>
              <w14:schemeClr w14:val="tx1"/>
            </w14:solidFill>
          </w14:textFill>
        </w:rPr>
      </w:pPr>
    </w:p>
    <w:p>
      <w:pPr>
        <w:pStyle w:val="10"/>
        <w:keepNext w:val="0"/>
        <w:keepLines w:val="0"/>
        <w:pageBreakBefore w:val="0"/>
        <w:numPr>
          <w:ilvl w:val="0"/>
          <w:numId w:val="1"/>
        </w:numPr>
        <w:kinsoku/>
        <w:wordWrap/>
        <w:overflowPunct/>
        <w:topLinePunct w:val="0"/>
        <w:bidi w:val="0"/>
        <w:snapToGrid/>
        <w:spacing w:line="540" w:lineRule="exact"/>
        <w:ind w:left="0" w:leftChars="0" w:right="0" w:rightChars="0" w:firstLine="640" w:firstLineChars="20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总则</w:t>
      </w:r>
    </w:p>
    <w:p>
      <w:pPr>
        <w:pStyle w:val="10"/>
        <w:keepNext w:val="0"/>
        <w:keepLines w:val="0"/>
        <w:pageBreakBefore w:val="0"/>
        <w:numPr>
          <w:ilvl w:val="0"/>
          <w:numId w:val="0"/>
        </w:numPr>
        <w:kinsoku/>
        <w:wordWrap/>
        <w:overflowPunct/>
        <w:topLinePunct w:val="0"/>
        <w:bidi w:val="0"/>
        <w:snapToGrid/>
        <w:spacing w:line="540" w:lineRule="exact"/>
        <w:ind w:leftChars="200" w:right="0" w:rightChars="0"/>
        <w:jc w:val="both"/>
        <w:textAlignment w:val="auto"/>
        <w:rPr>
          <w:rFonts w:ascii="Times New Roman" w:hAnsi="Times New Roman" w:eastAsia="黑体" w:cs="Times New Roman"/>
          <w:sz w:val="32"/>
          <w:szCs w:val="32"/>
        </w:rPr>
      </w:pPr>
    </w:p>
    <w:p>
      <w:pPr>
        <w:keepNext w:val="0"/>
        <w:keepLines w:val="0"/>
        <w:pageBreakBefore w:val="0"/>
        <w:widowControl/>
        <w:shd w:val="clear" w:color="auto" w:fill="FFFFFF"/>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w:t>
      </w:r>
      <w:r>
        <w:rPr>
          <w:rStyle w:val="8"/>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广东省人民政府关于印发广东省加快先进制造业项目投资建设若干政策措施的通知</w:t>
      </w:r>
      <w:r>
        <w:rPr>
          <w:rFonts w:hint="eastAsia" w:ascii="仿宋_GB2312" w:hAnsi="仿宋_GB2312" w:eastAsia="仿宋_GB2312" w:cs="仿宋_GB2312"/>
          <w:color w:val="000000" w:themeColor="text1"/>
          <w:sz w:val="32"/>
          <w:szCs w:val="32"/>
          <w14:textFill>
            <w14:solidFill>
              <w14:schemeClr w14:val="tx1"/>
            </w14:solidFill>
          </w14:textFill>
        </w:rPr>
        <w:t>》(粤府〔2021〕21号)、《广东省先进制造业发展专项资金（普惠性制造业投资奖励）管理实施细则》（粤工信技改函〔2021〕45号）等规定，为规范省先进制造业发展专项资金(普惠性制造业投资奖励)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14:textFill>
            <w14:solidFill>
              <w14:schemeClr w14:val="tx1"/>
            </w14:solidFill>
          </w14:textFill>
        </w:rPr>
        <w:t>管理，制定本实施细则。</w:t>
      </w:r>
    </w:p>
    <w:p>
      <w:pPr>
        <w:keepNext w:val="0"/>
        <w:keepLines w:val="0"/>
        <w:pageBreakBefore w:val="0"/>
        <w:widowControl/>
        <w:shd w:val="clear" w:color="auto" w:fill="FFFFFF"/>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本实施细则所称普惠性制造业投资奖励资金(以下简称“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w:t>
      </w:r>
      <w:r>
        <w:rPr>
          <w:rFonts w:hint="eastAsia" w:ascii="仿宋_GB2312" w:hAnsi="仿宋_GB2312" w:eastAsia="仿宋_GB2312" w:cs="仿宋_GB2312"/>
          <w:color w:val="000000" w:themeColor="text1"/>
          <w:sz w:val="32"/>
          <w:szCs w:val="32"/>
          <w14:textFill>
            <w14:solidFill>
              <w14:schemeClr w14:val="tx1"/>
            </w14:solidFill>
          </w14:textFill>
        </w:rPr>
        <w:t>奖励资金”）是指省财政通过专项转移支付，按符合条件的制造业项目建设情况对我市按规定予以事后奖励，支持引进建设先进制造业项目的资金。</w:t>
      </w:r>
    </w:p>
    <w:p>
      <w:pPr>
        <w:keepNext w:val="0"/>
        <w:keepLines w:val="0"/>
        <w:pageBreakBefore w:val="0"/>
        <w:widowControl/>
        <w:shd w:val="clear" w:color="auto" w:fill="FFFFFF"/>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第三条  本实施细则所称奖励资金测算项目（以下简称“测算项目”）是指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各县（市、区）政府（管委会）在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2021年1月1日至2025年12月31日期间新引进或在建项目总投资5亿元以上，按申报期内项目新增实际固定资产投资额不超过2%的比例，用于测算并向市申报省投资奖励资金的制造业项目（行业代码：13-43）。</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投资奖励资金支持项目（以下简称“支持项目”）是指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按照投资奖励资金使用范围</w:t>
      </w:r>
      <w:r>
        <w:rPr>
          <w:rFonts w:hint="eastAsia" w:ascii="仿宋_GB2312" w:hAnsi="仿宋_GB2312" w:eastAsia="仿宋_GB2312" w:cs="仿宋_GB2312"/>
          <w:color w:val="auto"/>
          <w:sz w:val="32"/>
          <w:szCs w:val="32"/>
          <w:lang w:eastAsia="zh-CN"/>
        </w:rPr>
        <w:t>经评审遴选予以支持的项目，</w:t>
      </w:r>
      <w:r>
        <w:rPr>
          <w:rFonts w:hint="eastAsia" w:ascii="仿宋_GB2312" w:hAnsi="仿宋_GB2312" w:eastAsia="仿宋_GB2312" w:cs="仿宋_GB2312"/>
          <w:color w:val="auto"/>
          <w:sz w:val="32"/>
          <w:szCs w:val="32"/>
        </w:rPr>
        <w:t>未列入省测算项目清单的项目原则上不予支持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测算项目仅用于测算投资奖励资金额度，不等同于支持项目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但</w:t>
      </w:r>
      <w:r>
        <w:rPr>
          <w:rFonts w:hint="eastAsia" w:ascii="仿宋_GB2312" w:hAnsi="仿宋_GB2312" w:eastAsia="仿宋_GB2312" w:cs="仿宋_GB2312"/>
          <w:color w:val="000000" w:themeColor="text1"/>
          <w:sz w:val="32"/>
          <w:szCs w:val="32"/>
          <w14:textFill>
            <w14:solidFill>
              <w14:schemeClr w14:val="tx1"/>
            </w14:solidFill>
          </w14:textFill>
        </w:rPr>
        <w:t>支持项目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测算项目中评审遴选产生。</w:t>
      </w:r>
    </w:p>
    <w:p>
      <w:pPr>
        <w:pStyle w:val="3"/>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第四条  本实施细则所称新增实际固定资产投资是指符合条件的测算项目在申报期内完成并纳入统计的固定资产投资额。 </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投资奖励资金申报和使用管理应遵循依法依规、公平公正、突出重点、科学分配、绩效导向、规范管理的原则。</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第二章  职责要求</w:t>
      </w:r>
    </w:p>
    <w:p>
      <w:pPr>
        <w:pStyle w:val="3"/>
        <w:keepNext w:val="0"/>
        <w:keepLines w:val="0"/>
        <w:pageBreakBefore w:val="0"/>
        <w:numPr>
          <w:ilvl w:val="0"/>
          <w:numId w:val="0"/>
        </w:numPr>
        <w:kinsoku/>
        <w:wordWrap/>
        <w:overflowPunct/>
        <w:topLinePunct w:val="0"/>
        <w:bidi w:val="0"/>
        <w:snapToGrid/>
        <w:spacing w:line="540" w:lineRule="exact"/>
        <w:ind w:left="0" w:leftChars="0" w:right="0" w:rightChars="0" w:firstLine="420" w:firstLineChars="200"/>
        <w:jc w:val="both"/>
        <w:textAlignment w:val="auto"/>
        <w:rPr>
          <w:rFonts w:hint="eastAsia"/>
          <w:lang w:val="en-US" w:eastAsia="zh-CN"/>
        </w:rPr>
      </w:pP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市工业和信息化局作为投资奖励资金的市级业务主管部门，</w:t>
      </w:r>
      <w:r>
        <w:rPr>
          <w:rFonts w:hint="eastAsia" w:ascii="仿宋_GB2312" w:hAnsi="仿宋_GB2312" w:eastAsia="仿宋_GB2312" w:cs="仿宋_GB2312"/>
          <w:color w:val="auto"/>
          <w:sz w:val="32"/>
          <w:szCs w:val="32"/>
          <w:highlight w:val="none"/>
          <w:lang w:eastAsia="zh-CN"/>
        </w:rPr>
        <w:t>负责做好本市投资奖励资金测算项目申报、审查上报，支持项目遴选评审、项目入库、验收（完工评价）、信息公开和绩效自评等工作。</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市财政局负责投资奖励资金预算管理，下达支持项目资金计划，负责审核、拨付投资奖励资金，组织实施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w:t>
      </w:r>
      <w:r>
        <w:rPr>
          <w:rFonts w:hint="eastAsia" w:ascii="仿宋_GB2312" w:hAnsi="仿宋_GB2312" w:eastAsia="仿宋_GB2312" w:cs="仿宋_GB2312"/>
          <w:color w:val="000000" w:themeColor="text1"/>
          <w:sz w:val="32"/>
          <w:szCs w:val="32"/>
          <w14:textFill>
            <w14:solidFill>
              <w14:schemeClr w14:val="tx1"/>
            </w14:solidFill>
          </w14:textFill>
        </w:rPr>
        <w:t>奖励资金财政监督检查和重点绩效评价等工作。</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  市统计局负责核实符合条件的测算项目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和支持项目</w:t>
      </w:r>
      <w:r>
        <w:rPr>
          <w:rFonts w:hint="eastAsia" w:ascii="仿宋_GB2312" w:hAnsi="仿宋_GB2312" w:eastAsia="仿宋_GB2312" w:cs="仿宋_GB2312"/>
          <w:color w:val="000000" w:themeColor="text1"/>
          <w:sz w:val="32"/>
          <w:szCs w:val="32"/>
          <w14:textFill>
            <w14:solidFill>
              <w14:schemeClr w14:val="tx1"/>
            </w14:solidFill>
          </w14:textFill>
        </w:rPr>
        <w:t>在申报期内</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完成并纳入投资统计的固定资产投资额等工作。</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第九</w:t>
      </w:r>
      <w:r>
        <w:rPr>
          <w:rFonts w:hint="eastAsia" w:ascii="仿宋_GB2312" w:hAnsi="仿宋_GB2312" w:eastAsia="仿宋_GB2312" w:cs="仿宋_GB2312"/>
          <w:color w:val="auto"/>
          <w:sz w:val="32"/>
          <w:szCs w:val="32"/>
        </w:rPr>
        <w:t>条  各县（市、区）政府（管委会）依据</w:t>
      </w:r>
      <w:r>
        <w:rPr>
          <w:rFonts w:hint="eastAsia" w:ascii="仿宋_GB2312" w:hAnsi="仿宋_GB2312" w:eastAsia="仿宋_GB2312" w:cs="仿宋_GB2312"/>
          <w:color w:val="auto"/>
          <w:sz w:val="32"/>
          <w:szCs w:val="32"/>
          <w:lang w:eastAsia="zh-CN"/>
        </w:rPr>
        <w:t>测算项目和支持项目的申报通知或指南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推荐</w:t>
      </w:r>
      <w:r>
        <w:rPr>
          <w:rFonts w:hint="eastAsia" w:ascii="仿宋_GB2312" w:hAnsi="仿宋_GB2312" w:eastAsia="仿宋_GB2312" w:cs="仿宋_GB2312"/>
          <w:color w:val="auto"/>
          <w:sz w:val="32"/>
          <w:szCs w:val="32"/>
        </w:rPr>
        <w:t>申报，加强项目后续管理工作</w:t>
      </w:r>
      <w:r>
        <w:rPr>
          <w:rFonts w:hint="eastAsia" w:ascii="仿宋_GB2312" w:hAnsi="仿宋_GB2312" w:eastAsia="仿宋_GB2312" w:cs="仿宋_GB2312"/>
          <w:color w:val="auto"/>
          <w:sz w:val="32"/>
          <w:szCs w:val="32"/>
          <w:lang w:eastAsia="zh-CN"/>
        </w:rPr>
        <w:t>，协助市工业和信息化局</w:t>
      </w:r>
      <w:r>
        <w:rPr>
          <w:rFonts w:hint="eastAsia" w:ascii="仿宋_GB2312" w:hAnsi="仿宋_GB2312" w:eastAsia="仿宋_GB2312" w:cs="仿宋_GB2312"/>
          <w:color w:val="auto"/>
          <w:sz w:val="32"/>
          <w:szCs w:val="32"/>
        </w:rPr>
        <w:t>做好资金</w:t>
      </w:r>
      <w:r>
        <w:rPr>
          <w:rFonts w:hint="eastAsia" w:ascii="仿宋_GB2312" w:hAnsi="仿宋_GB2312" w:eastAsia="仿宋_GB2312" w:cs="仿宋_GB2312"/>
          <w:color w:val="auto"/>
          <w:sz w:val="32"/>
          <w:szCs w:val="32"/>
          <w:lang w:eastAsia="zh-CN"/>
        </w:rPr>
        <w:t>管理有关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第三章 测算项目奖励标准、条件和清算</w:t>
      </w:r>
    </w:p>
    <w:p>
      <w:pPr>
        <w:pStyle w:val="2"/>
        <w:rPr>
          <w:rFonts w:hint="eastAsia"/>
          <w:lang w:val="en-US" w:eastAsia="zh-CN"/>
        </w:rPr>
      </w:pP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奖励标准、方式和期限：</w:t>
      </w:r>
      <w:r>
        <w:rPr>
          <w:rFonts w:hint="eastAsia" w:ascii="仿宋_GB2312" w:hAnsi="仿宋_GB2312" w:eastAsia="仿宋_GB2312" w:cs="仿宋_GB2312"/>
          <w:color w:val="auto"/>
          <w:sz w:val="32"/>
          <w:szCs w:val="32"/>
          <w:lang w:eastAsia="zh-CN"/>
        </w:rPr>
        <w:t>省财政</w:t>
      </w:r>
      <w:r>
        <w:rPr>
          <w:rFonts w:hint="eastAsia" w:ascii="仿宋_GB2312" w:hAnsi="仿宋_GB2312" w:eastAsia="仿宋_GB2312" w:cs="仿宋_GB2312"/>
          <w:color w:val="auto"/>
          <w:sz w:val="32"/>
          <w:szCs w:val="32"/>
        </w:rPr>
        <w:t>对2021年1月1日至2025年12月31日期间总投资5亿元以上的制造业项目，</w:t>
      </w:r>
      <w:r>
        <w:rPr>
          <w:rFonts w:hint="eastAsia" w:ascii="仿宋_GB2312" w:hAnsi="仿宋_GB2312" w:eastAsia="仿宋_GB2312" w:cs="仿宋_GB2312"/>
          <w:color w:val="auto"/>
          <w:sz w:val="32"/>
          <w:szCs w:val="32"/>
          <w:shd w:val="clear" w:color="auto" w:fill="FFFFFF"/>
        </w:rPr>
        <w:t>除已获得省重大制造业项目投资奖励支持的项目外，按申报期内新增实际固定资产投资额不超过2%的比例核算奖励资金额度</w:t>
      </w:r>
      <w:r>
        <w:rPr>
          <w:rFonts w:hint="eastAsia" w:ascii="仿宋_GB2312" w:hAnsi="仿宋_GB2312" w:eastAsia="仿宋_GB2312" w:cs="仿宋_GB2312"/>
          <w:color w:val="auto"/>
          <w:sz w:val="32"/>
          <w:szCs w:val="32"/>
          <w:shd w:val="clear" w:color="auto" w:fill="FFFFFF"/>
          <w:lang w:eastAsia="zh-CN"/>
        </w:rPr>
        <w:t>对地级市政府予以奖励。</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奖励条件。</w:t>
      </w:r>
      <w:r>
        <w:rPr>
          <w:rFonts w:hint="eastAsia" w:ascii="仿宋_GB2312" w:hAnsi="仿宋_GB2312" w:eastAsia="仿宋_GB2312" w:cs="仿宋_GB2312"/>
          <w:bCs/>
          <w:color w:val="000000" w:themeColor="text1"/>
          <w:sz w:val="32"/>
          <w:szCs w:val="32"/>
          <w14:textFill>
            <w14:solidFill>
              <w14:schemeClr w14:val="tx1"/>
            </w14:solidFill>
          </w14:textFill>
        </w:rPr>
        <w:t>测算项目应具备以下条件：</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项目实施地在湛江市境内，并已取得投资主管部门核准、审批和备案等立项文件。</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bCs/>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日起新增实际完成固定资产投资额已按规定纳入省工业固定资产投资统计，且申报奖励的固定资产</w:t>
      </w:r>
      <w:r>
        <w:rPr>
          <w:rFonts w:hint="eastAsia" w:ascii="仿宋_GB2312" w:hAnsi="仿宋_GB2312" w:eastAsia="仿宋_GB2312" w:cs="仿宋_GB2312"/>
          <w:bCs/>
          <w:color w:val="auto"/>
          <w:sz w:val="32"/>
          <w:szCs w:val="32"/>
        </w:rPr>
        <w:t>投资额不超过相应期间纳入统计的工业固定资产投资额</w:t>
      </w:r>
      <w:r>
        <w:rPr>
          <w:rFonts w:hint="eastAsia" w:ascii="仿宋_GB2312" w:hAnsi="仿宋_GB2312" w:eastAsia="仿宋_GB2312" w:cs="仿宋_GB2312"/>
          <w:bCs/>
          <w:color w:val="auto"/>
          <w:sz w:val="32"/>
          <w:szCs w:val="32"/>
          <w:lang w:eastAsia="zh-CN"/>
        </w:rPr>
        <w:t>。具体测算期间以省的申报通知或指南为准。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）项目未获得过省重大制造业项目投资奖励的支持，且不属于以往年度报经省政府常务会议审议同意支持的重点项目</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shd w:val="clear" w:color="auto" w:fill="FFFFFF"/>
        </w:rPr>
        <w:t>制造业项目</w:t>
      </w:r>
      <w:r>
        <w:rPr>
          <w:rFonts w:hint="eastAsia" w:ascii="仿宋_GB2312" w:hAnsi="仿宋_GB2312" w:eastAsia="仿宋_GB2312" w:cs="仿宋_GB2312"/>
          <w:bCs/>
          <w:color w:val="auto"/>
          <w:sz w:val="32"/>
          <w:szCs w:val="32"/>
        </w:rPr>
        <w:t>总投资</w:t>
      </w:r>
      <w:r>
        <w:rPr>
          <w:rFonts w:hint="eastAsia"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bCs/>
          <w:color w:val="auto"/>
          <w:sz w:val="32"/>
          <w:szCs w:val="32"/>
        </w:rPr>
        <w:t>亿元以上</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总投资10亿元以上制造业项目</w:t>
      </w:r>
      <w:r>
        <w:rPr>
          <w:rFonts w:hint="eastAsia" w:ascii="仿宋_GB2312" w:hAnsi="仿宋_GB2312" w:eastAsia="仿宋_GB2312" w:cs="仿宋_GB2312"/>
          <w:color w:val="auto"/>
          <w:sz w:val="32"/>
          <w:szCs w:val="32"/>
          <w:shd w:val="clear" w:color="auto" w:fill="FFFFFF"/>
          <w:lang w:eastAsia="zh-CN"/>
        </w:rPr>
        <w:t>须为</w:t>
      </w:r>
      <w:r>
        <w:rPr>
          <w:rFonts w:hint="eastAsia" w:ascii="仿宋_GB2312" w:hAnsi="仿宋_GB2312" w:eastAsia="仿宋_GB2312" w:cs="仿宋_GB2312"/>
          <w:color w:val="auto"/>
          <w:sz w:val="32"/>
          <w:szCs w:val="32"/>
          <w:shd w:val="clear" w:color="auto" w:fill="FFFFFF"/>
        </w:rPr>
        <w:t>省制造业重大项目库在库管理项目</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）项目单位近3年内在质量、安全、环保等方面未发生重大事故，不属于失信被执行人。</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）项目</w:t>
      </w:r>
      <w:r>
        <w:rPr>
          <w:rFonts w:hint="eastAsia" w:ascii="仿宋_GB2312" w:hAnsi="仿宋_GB2312" w:eastAsia="仿宋_GB2312" w:cs="仿宋_GB2312"/>
          <w:color w:val="auto"/>
          <w:sz w:val="32"/>
          <w:szCs w:val="32"/>
          <w:shd w:val="clear" w:color="auto" w:fill="FFFFFF"/>
          <w:lang w:eastAsia="zh-CN"/>
        </w:rPr>
        <w:t>须符合国家、省、市相关领域政策规定（包括但不限于符合环保、能耗、安全等要求），</w:t>
      </w:r>
      <w:r>
        <w:rPr>
          <w:rFonts w:hint="eastAsia" w:ascii="仿宋_GB2312" w:hAnsi="仿宋_GB2312" w:eastAsia="仿宋_GB2312" w:cs="仿宋_GB2312"/>
          <w:color w:val="auto"/>
          <w:sz w:val="32"/>
          <w:szCs w:val="32"/>
          <w:shd w:val="clear" w:color="auto" w:fill="FFFFFF"/>
        </w:rPr>
        <w:t>不存在相关法律法规规定明确不得予以财政资金支持的情况</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申报通知或指南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明确的其他条件。</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条  </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测算项目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台账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项目属地县（市、区）政府（管委会）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可指派属地工信部门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于</w:t>
      </w:r>
      <w:r>
        <w:rPr>
          <w:rFonts w:hint="eastAsia" w:ascii="仿宋_GB2312" w:hAnsi="仿宋_GB2312" w:eastAsia="仿宋_GB2312" w:cs="仿宋_GB2312"/>
          <w:color w:val="000000" w:themeColor="text1"/>
          <w:sz w:val="32"/>
          <w:szCs w:val="32"/>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1月10日、7月10日前将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台账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报送至市工业和信息化</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、市财政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。政策实施期满后根据测算项目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“十四五”期间投资完成情况进行清算，对未按规定完成投资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测算项目所获取的投资奖励资金，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财政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予以清算收回。</w:t>
      </w:r>
    </w:p>
    <w:p>
      <w:pPr>
        <w:keepNext w:val="0"/>
        <w:keepLines w:val="0"/>
        <w:pageBreakBefore w:val="0"/>
        <w:kinsoku/>
        <w:wordWrap/>
        <w:overflowPunct/>
        <w:topLinePunct w:val="0"/>
        <w:bidi w:val="0"/>
        <w:snapToGrid/>
        <w:spacing w:line="540" w:lineRule="exact"/>
        <w:ind w:right="0" w:rightChars="0"/>
        <w:jc w:val="both"/>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第四章 支持项目奖励范围和标准</w:t>
      </w:r>
    </w:p>
    <w:p>
      <w:pPr>
        <w:pStyle w:val="3"/>
        <w:keepNext w:val="0"/>
        <w:keepLines w:val="0"/>
        <w:pageBreakBefore w:val="0"/>
        <w:kinsoku/>
        <w:wordWrap/>
        <w:overflowPunct/>
        <w:topLinePunct w:val="0"/>
        <w:bidi w:val="0"/>
        <w:snapToGrid/>
        <w:spacing w:line="540" w:lineRule="exact"/>
        <w:ind w:left="0" w:leftChars="0" w:right="0" w:rightChars="0" w:firstLine="420" w:firstLineChars="200"/>
        <w:jc w:val="both"/>
        <w:textAlignment w:val="auto"/>
        <w:rPr>
          <w:rFonts w:hint="eastAsia"/>
          <w:lang w:val="en-US" w:eastAsia="zh-CN"/>
        </w:rPr>
      </w:pP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eastAsia="仿宋_GB2312"/>
          <w:color w:val="auto"/>
          <w:lang w:val="en-US" w:eastAsia="zh-CN"/>
        </w:rPr>
      </w:pPr>
      <w:r>
        <w:rPr>
          <w:rFonts w:hint="eastAsia" w:ascii="仿宋_GB2312" w:hAnsi="仿宋_GB2312" w:eastAsia="仿宋_GB2312" w:cs="仿宋_GB2312"/>
          <w:color w:val="auto"/>
          <w:sz w:val="32"/>
          <w:szCs w:val="32"/>
          <w:lang w:eastAsia="zh-CN"/>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投资奖励资金主要是鼓励制造业项目加快投资和投产进度，重点支持制造业项目购置土地、厂房建设和生产设备购置等环节的投入</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b w:val="0"/>
          <w:bCs w:val="0"/>
          <w:color w:val="auto"/>
          <w:sz w:val="32"/>
          <w:szCs w:val="32"/>
          <w:lang w:val="en-US" w:eastAsia="zh-CN"/>
        </w:rPr>
        <w:t>市政府明确的其他奖励方式，</w:t>
      </w:r>
      <w:r>
        <w:rPr>
          <w:rFonts w:hint="eastAsia" w:ascii="仿宋_GB2312" w:hAnsi="仿宋_GB2312" w:eastAsia="仿宋_GB2312" w:cs="仿宋_GB2312"/>
          <w:color w:val="auto"/>
          <w:sz w:val="32"/>
          <w:szCs w:val="32"/>
        </w:rPr>
        <w:t>不得用于已获得省级财政资金支持过的固定资产投资。</w:t>
      </w:r>
    </w:p>
    <w:p>
      <w:pPr>
        <w:pStyle w:val="2"/>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奖励范围、标准</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（一）项目单位购置的土地按照</w:t>
      </w:r>
      <w:r>
        <w:rPr>
          <w:rFonts w:hint="eastAsia" w:ascii="仿宋_GB2312" w:hAnsi="仿宋_GB2312" w:eastAsia="仿宋_GB2312" w:cs="仿宋_GB2312"/>
          <w:color w:val="auto"/>
          <w:sz w:val="32"/>
          <w:szCs w:val="32"/>
        </w:rPr>
        <w:t>招拍挂总额</w:t>
      </w:r>
      <w:r>
        <w:rPr>
          <w:rFonts w:hint="eastAsia" w:ascii="仿宋_GB2312" w:hAnsi="仿宋_GB2312" w:eastAsia="仿宋_GB2312" w:cs="仿宋_GB2312"/>
          <w:b w:val="0"/>
          <w:bCs w:val="0"/>
          <w:color w:val="auto"/>
          <w:kern w:val="2"/>
          <w:sz w:val="32"/>
          <w:szCs w:val="32"/>
          <w:lang w:val="en-US" w:eastAsia="zh-CN" w:bidi="ar-SA"/>
        </w:rPr>
        <w:t>不超过10%的比例进行奖励</w:t>
      </w:r>
      <w:r>
        <w:rPr>
          <w:rFonts w:hint="eastAsia" w:ascii="仿宋_GB2312" w:hAnsi="仿宋_GB2312" w:eastAsia="仿宋_GB2312" w:cs="仿宋_GB2312"/>
          <w:b w:val="0"/>
          <w:bCs w:val="0"/>
          <w:color w:val="auto"/>
          <w:sz w:val="32"/>
          <w:szCs w:val="32"/>
          <w:lang w:val="en-US" w:eastAsia="zh-CN"/>
        </w:rPr>
        <w:t>；</w:t>
      </w:r>
    </w:p>
    <w:p>
      <w:pPr>
        <w:pStyle w:val="2"/>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（二）项目单位经营使用的新建工业厂房按其</w:t>
      </w:r>
      <w:r>
        <w:rPr>
          <w:rFonts w:hint="eastAsia" w:ascii="仿宋_GB2312" w:hAnsi="仿宋_GB2312" w:eastAsia="仿宋_GB2312" w:cs="仿宋_GB2312"/>
          <w:b w:val="0"/>
          <w:bCs w:val="0"/>
          <w:color w:val="auto"/>
          <w:kern w:val="2"/>
          <w:sz w:val="32"/>
          <w:szCs w:val="32"/>
          <w:lang w:val="en-US" w:eastAsia="zh-CN" w:bidi="ar-SA"/>
        </w:rPr>
        <w:t>投资额不超过10%的比例进行奖励</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（三）项目新购置的生产设备按其</w:t>
      </w:r>
      <w:r>
        <w:rPr>
          <w:rFonts w:hint="eastAsia" w:ascii="仿宋_GB2312" w:hAnsi="仿宋_GB2312" w:eastAsia="仿宋_GB2312" w:cs="仿宋_GB2312"/>
          <w:b w:val="0"/>
          <w:bCs w:val="0"/>
          <w:color w:val="auto"/>
          <w:kern w:val="2"/>
          <w:sz w:val="32"/>
          <w:szCs w:val="32"/>
          <w:lang w:val="en-US" w:eastAsia="zh-CN" w:bidi="ar-SA"/>
        </w:rPr>
        <w:t>购置额不超过30%的比例进行奖励。</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支持项目“十四五”期间最终所获奖励资金总额不超过本项目所产生的投资奖励资金额度，项目的投入以发票等合法票据为准，金额不含税，具体申报资料以申报通知或指南为准。</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第十五条 支持方式。采用事后奖励方式，体现“集中财力办大事”原则，避免“小、散、杂”。</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第五章  工作流程</w:t>
      </w:r>
    </w:p>
    <w:p>
      <w:pPr>
        <w:pStyle w:val="3"/>
        <w:keepNext w:val="0"/>
        <w:keepLines w:val="0"/>
        <w:pageBreakBefore w:val="0"/>
        <w:numPr>
          <w:ilvl w:val="0"/>
          <w:numId w:val="0"/>
        </w:numPr>
        <w:tabs>
          <w:tab w:val="left" w:pos="5459"/>
        </w:tabs>
        <w:kinsoku/>
        <w:wordWrap/>
        <w:overflowPunct/>
        <w:topLinePunct w:val="0"/>
        <w:bidi w:val="0"/>
        <w:snapToGrid/>
        <w:spacing w:line="540" w:lineRule="exact"/>
        <w:ind w:left="0" w:leftChars="0" w:right="0" w:rightChars="0" w:firstLine="420" w:firstLineChars="200"/>
        <w:jc w:val="both"/>
        <w:textAlignment w:val="auto"/>
        <w:rPr>
          <w:rFonts w:hint="eastAsia"/>
          <w:lang w:val="en-US" w:eastAsia="zh-CN"/>
        </w:rPr>
      </w:pPr>
      <w:r>
        <w:rPr>
          <w:rFonts w:hint="eastAsia"/>
          <w:lang w:val="en-US" w:eastAsia="zh-CN"/>
        </w:rPr>
        <w:tab/>
      </w:r>
    </w:p>
    <w:p>
      <w:pPr>
        <w:keepNext w:val="0"/>
        <w:keepLines w:val="0"/>
        <w:pageBreakBefore w:val="0"/>
        <w:numPr>
          <w:ilvl w:val="0"/>
          <w:numId w:val="0"/>
        </w:numPr>
        <w:kinsoku/>
        <w:wordWrap/>
        <w:overflowPunct/>
        <w:topLinePunct w:val="0"/>
        <w:bidi w:val="0"/>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项目工作流程如下：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宣传发动。市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局定期汇总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亿元以上制造业项目投资立项和变更情况，做好政策宣传发动。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组织测算。市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 xml:space="preserve">局根据省文件要求组织符合条件的项目申报测算项目。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形式审查。市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局对</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县（市、区）提交的</w:t>
      </w:r>
      <w:r>
        <w:rPr>
          <w:rFonts w:hint="eastAsia" w:ascii="仿宋_GB2312" w:hAnsi="仿宋_GB2312" w:eastAsia="仿宋_GB2312" w:cs="仿宋_GB2312"/>
          <w:color w:val="000000" w:themeColor="text1"/>
          <w:sz w:val="32"/>
          <w:szCs w:val="32"/>
          <w14:textFill>
            <w14:solidFill>
              <w14:schemeClr w14:val="tx1"/>
            </w14:solidFill>
          </w14:textFill>
        </w:rPr>
        <w:t xml:space="preserve">测算项目资料进行形式审查。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统计</w:t>
      </w:r>
      <w:r>
        <w:rPr>
          <w:rFonts w:hint="eastAsia" w:ascii="仿宋_GB2312" w:hAnsi="仿宋_GB2312" w:eastAsia="仿宋_GB2312" w:cs="仿宋_GB2312"/>
          <w:color w:val="000000" w:themeColor="text1"/>
          <w:sz w:val="32"/>
          <w:szCs w:val="32"/>
          <w14:textFill>
            <w14:solidFill>
              <w14:schemeClr w14:val="tx1"/>
            </w14:solidFill>
          </w14:textFill>
        </w:rPr>
        <w:t xml:space="preserve">复核。市统计局复核测算项目申报期间新增实际完成固定资产投资额纳入省工业固定资产投资统计的情况。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征求意见。市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对县（市、区）</w:t>
      </w:r>
      <w:r>
        <w:rPr>
          <w:rFonts w:hint="eastAsia" w:ascii="仿宋_GB2312" w:hAnsi="仿宋_GB2312" w:eastAsia="仿宋_GB2312" w:cs="仿宋_GB2312"/>
          <w:color w:val="000000" w:themeColor="text1"/>
          <w:sz w:val="32"/>
          <w:szCs w:val="32"/>
          <w14:textFill>
            <w14:solidFill>
              <w14:schemeClr w14:val="tx1"/>
            </w14:solidFill>
          </w14:textFill>
        </w:rPr>
        <w:t xml:space="preserve">提交的测算项目是否符合申报条件征求有关部门意见。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现场审核。市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局组织专家对</w:t>
      </w:r>
      <w:r>
        <w:rPr>
          <w:rFonts w:hint="eastAsia" w:ascii="仿宋_GB2312" w:hAnsi="仿宋_GB2312" w:eastAsia="仿宋_GB2312" w:cs="仿宋_GB2312"/>
          <w:color w:val="000000" w:themeColor="text1"/>
          <w:sz w:val="32"/>
          <w:szCs w:val="32"/>
          <w:lang w:eastAsia="zh-CN"/>
          <w14:textFill>
            <w14:solidFill>
              <w14:schemeClr w14:val="tx1"/>
            </w14:solidFill>
          </w14:textFill>
        </w:rPr>
        <w:t>测算</w:t>
      </w:r>
      <w:r>
        <w:rPr>
          <w:rFonts w:hint="eastAsia" w:ascii="仿宋_GB2312" w:hAnsi="仿宋_GB2312" w:eastAsia="仿宋_GB2312" w:cs="仿宋_GB2312"/>
          <w:color w:val="000000" w:themeColor="text1"/>
          <w:sz w:val="32"/>
          <w:szCs w:val="32"/>
          <w14:textFill>
            <w14:solidFill>
              <w14:schemeClr w14:val="tx1"/>
            </w14:solidFill>
          </w14:textFill>
        </w:rPr>
        <w:t xml:space="preserve">项目申报材料的真实性进行现场审核。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预算申报。市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局根据部门反馈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复核意见以及现场审核结果，按规定程序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向市政府报告，由市政府</w:t>
      </w:r>
      <w:r>
        <w:rPr>
          <w:rFonts w:hint="eastAsia" w:ascii="仿宋_GB2312" w:hAnsi="仿宋_GB2312" w:eastAsia="仿宋_GB2312" w:cs="仿宋_GB2312"/>
          <w:color w:val="000000" w:themeColor="text1"/>
          <w:sz w:val="32"/>
          <w:szCs w:val="32"/>
          <w14:textFill>
            <w14:solidFill>
              <w14:schemeClr w14:val="tx1"/>
            </w14:solidFill>
          </w14:textFill>
        </w:rPr>
        <w:t>向省工业和信息化厅报送投资奖励资金测算项目清单和绩效目标。</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项目评审</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按照省工业和信息化厅的要求</w:t>
      </w:r>
      <w:r>
        <w:rPr>
          <w:rFonts w:hint="eastAsia" w:ascii="仿宋_GB2312" w:hAnsi="仿宋_GB2312" w:eastAsia="仿宋_GB2312" w:cs="仿宋_GB2312"/>
          <w:color w:val="auto"/>
          <w:sz w:val="32"/>
          <w:szCs w:val="32"/>
        </w:rPr>
        <w:t>组织支持项目申报，按需要组织专家或委托第三方机构对项目申报材料的真实性</w:t>
      </w:r>
      <w:r>
        <w:rPr>
          <w:rFonts w:hint="eastAsia" w:ascii="仿宋_GB2312" w:hAnsi="仿宋_GB2312" w:eastAsia="仿宋_GB2312" w:cs="仿宋_GB2312"/>
          <w:color w:val="auto"/>
          <w:sz w:val="32"/>
          <w:szCs w:val="32"/>
          <w:lang w:eastAsia="zh-CN"/>
        </w:rPr>
        <w:t>、符合性等</w:t>
      </w:r>
      <w:r>
        <w:rPr>
          <w:rFonts w:hint="eastAsia" w:ascii="仿宋_GB2312" w:hAnsi="仿宋_GB2312" w:eastAsia="仿宋_GB2312" w:cs="仿宋_GB2312"/>
          <w:color w:val="auto"/>
          <w:sz w:val="32"/>
          <w:szCs w:val="32"/>
        </w:rPr>
        <w:t xml:space="preserve">进行现场审核。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集体审议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按照资金管理程序要求，报局党组会集体审议通过。</w:t>
      </w:r>
    </w:p>
    <w:p>
      <w:pPr>
        <w:keepNext w:val="0"/>
        <w:keepLines w:val="0"/>
        <w:pageBreakBefore w:val="0"/>
        <w:numPr>
          <w:ilvl w:val="0"/>
          <w:numId w:val="2"/>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社会公示。市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局将</w:t>
      </w:r>
      <w:r>
        <w:rPr>
          <w:rFonts w:hint="eastAsia" w:ascii="仿宋_GB2312" w:hAnsi="仿宋_GB2312" w:eastAsia="仿宋_GB2312" w:cs="仿宋_GB2312"/>
          <w:color w:val="000000" w:themeColor="text1"/>
          <w:sz w:val="32"/>
          <w:szCs w:val="32"/>
          <w:lang w:eastAsia="zh-CN"/>
          <w14:textFill>
            <w14:solidFill>
              <w14:schemeClr w14:val="tx1"/>
            </w14:solidFill>
          </w14:textFill>
        </w:rPr>
        <w:t>集体审议通过的</w:t>
      </w:r>
      <w:r>
        <w:rPr>
          <w:rFonts w:hint="eastAsia" w:ascii="仿宋_GB2312" w:hAnsi="仿宋_GB2312" w:eastAsia="仿宋_GB2312" w:cs="仿宋_GB2312"/>
          <w:color w:val="000000" w:themeColor="text1"/>
          <w:sz w:val="32"/>
          <w:szCs w:val="32"/>
          <w14:textFill>
            <w14:solidFill>
              <w14:schemeClr w14:val="tx1"/>
            </w14:solidFill>
          </w14:textFill>
        </w:rPr>
        <w:t>支持项目清单进行社会公示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后报市政府审定</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numPr>
          <w:ilvl w:val="0"/>
          <w:numId w:val="0"/>
        </w:numPr>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）下达计划。市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工业和信息化</w:t>
      </w:r>
      <w:r>
        <w:rPr>
          <w:rFonts w:hint="eastAsia" w:ascii="仿宋_GB2312" w:hAnsi="仿宋_GB2312" w:eastAsia="仿宋_GB2312" w:cs="仿宋_GB2312"/>
          <w:color w:val="000000" w:themeColor="text1"/>
          <w:sz w:val="32"/>
          <w:szCs w:val="32"/>
          <w14:textFill>
            <w14:solidFill>
              <w14:schemeClr w14:val="tx1"/>
            </w14:solidFill>
          </w14:textFill>
        </w:rPr>
        <w:t>局根据省</w:t>
      </w:r>
      <w:r>
        <w:rPr>
          <w:rFonts w:hint="eastAsia" w:ascii="仿宋_GB2312" w:hAnsi="仿宋_GB2312" w:eastAsia="仿宋_GB2312" w:cs="仿宋_GB2312"/>
          <w:color w:val="000000" w:themeColor="text1"/>
          <w:sz w:val="32"/>
          <w:szCs w:val="32"/>
          <w:lang w:eastAsia="zh-CN"/>
          <w14:textFill>
            <w14:solidFill>
              <w14:schemeClr w14:val="tx1"/>
            </w14:solidFill>
          </w14:textFill>
        </w:rPr>
        <w:t>工信厅的</w:t>
      </w:r>
      <w:r>
        <w:rPr>
          <w:rFonts w:hint="eastAsia" w:ascii="仿宋_GB2312" w:hAnsi="仿宋_GB2312" w:eastAsia="仿宋_GB2312" w:cs="仿宋_GB2312"/>
          <w:color w:val="000000" w:themeColor="text1"/>
          <w:sz w:val="32"/>
          <w:szCs w:val="32"/>
          <w14:textFill>
            <w14:solidFill>
              <w14:schemeClr w14:val="tx1"/>
            </w14:solidFill>
          </w14:textFill>
        </w:rPr>
        <w:t>下达</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文件，下达本市</w:t>
      </w:r>
      <w:r>
        <w:rPr>
          <w:rFonts w:hint="eastAsia" w:ascii="仿宋_GB2312" w:hAnsi="仿宋_GB2312" w:eastAsia="仿宋_GB2312" w:cs="仿宋_GB2312"/>
          <w:color w:val="000000" w:themeColor="text1"/>
          <w:sz w:val="32"/>
          <w:szCs w:val="32"/>
          <w14:textFill>
            <w14:solidFill>
              <w14:schemeClr w14:val="tx1"/>
            </w14:solidFill>
          </w14:textFill>
        </w:rPr>
        <w:t>的资金项目计划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。市财政局</w:t>
      </w:r>
      <w:r>
        <w:rPr>
          <w:rFonts w:hint="eastAsia" w:ascii="仿宋_GB2312" w:hAnsi="仿宋_GB2312" w:eastAsia="仿宋_GB2312" w:cs="仿宋_GB2312"/>
          <w:color w:val="000000" w:themeColor="text1"/>
          <w:sz w:val="32"/>
          <w:szCs w:val="32"/>
          <w14:textFill>
            <w14:solidFill>
              <w14:schemeClr w14:val="tx1"/>
            </w14:solidFill>
          </w14:textFill>
        </w:rPr>
        <w:t>按规定办理资金拨付手续。</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3"/>
        </w:numPr>
        <w:tabs>
          <w:tab w:val="left" w:pos="442"/>
        </w:tabs>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绩效评价及监督检查</w:t>
      </w:r>
    </w:p>
    <w:p>
      <w:pPr>
        <w:pStyle w:val="3"/>
        <w:keepNext w:val="0"/>
        <w:keepLines w:val="0"/>
        <w:pageBreakBefore w:val="0"/>
        <w:numPr>
          <w:ilvl w:val="0"/>
          <w:numId w:val="0"/>
        </w:numPr>
        <w:kinsoku/>
        <w:wordWrap/>
        <w:overflowPunct/>
        <w:topLinePunct w:val="0"/>
        <w:bidi w:val="0"/>
        <w:snapToGrid/>
        <w:spacing w:line="540" w:lineRule="exact"/>
        <w:ind w:left="0" w:leftChars="0" w:right="0" w:rightChars="0" w:firstLine="420" w:firstLineChars="200"/>
        <w:jc w:val="both"/>
        <w:textAlignment w:val="auto"/>
        <w:rPr>
          <w:rFonts w:hint="eastAsia"/>
          <w:lang w:val="en-US" w:eastAsia="zh-CN"/>
        </w:rPr>
      </w:pP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十七</w:t>
      </w:r>
      <w:r>
        <w:rPr>
          <w:rFonts w:hint="eastAsia" w:ascii="仿宋_GB2312" w:hAnsi="仿宋_GB2312" w:eastAsia="仿宋_GB2312" w:cs="仿宋_GB2312"/>
          <w:color w:val="000000" w:themeColor="text1"/>
          <w:sz w:val="32"/>
          <w:szCs w:val="32"/>
          <w14:textFill>
            <w14:solidFill>
              <w14:schemeClr w14:val="tx1"/>
            </w14:solidFill>
          </w14:textFill>
        </w:rPr>
        <w:t>条  除涉及保密要求或重大敏感事项不予公开的内容外，投资奖励资金分配、执行和结果等全过程信息按照“谁制定、谁分配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谁使用、谁公开”的原则予以公开。投资奖励资金实行信息公开。主要内容包括：</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（一）制造业投资奖励资金管理实施细则；</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（二）投资奖励资金支持项目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申报通知或指南</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（三）投资奖励资金支持项目分配结果；</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）接受、处理投诉情况；</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）其他按规定应公开的内容。</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条  市工业和信息化局负责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投资奖励资金绩效目标，按要求组织做好绩效自评工作，会同市财政局落实绩效跟踪督查和绩效评价等工作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自觉接受人大、财政、审计、监察等部门的监督检查。</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市财政局负责组织绩效评价工作，并视工作需要组织开展重点绩效评价，</w:t>
      </w:r>
      <w:r>
        <w:rPr>
          <w:rFonts w:hint="eastAsia" w:ascii="仿宋_GB2312" w:hAnsi="仿宋_GB2312" w:eastAsia="仿宋_GB2312" w:cs="仿宋_GB2312"/>
          <w:bCs/>
          <w:color w:val="000000" w:themeColor="text1"/>
          <w:sz w:val="32"/>
          <w:szCs w:val="32"/>
          <w14:textFill>
            <w14:solidFill>
              <w14:schemeClr w14:val="tx1"/>
            </w14:solidFill>
          </w14:textFill>
        </w:rPr>
        <w:t>绩效评价结果作为投资奖励资金预算安排、政策调整、资金分配的重要参考依据。</w:t>
      </w:r>
    </w:p>
    <w:p>
      <w:pPr>
        <w:keepNext w:val="0"/>
        <w:keepLines w:val="0"/>
        <w:pageBreakBefore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条  投资奖励资金管理实行责任追究机制。对专项资金使用管理过程中存在违规行为的单位、个人，按照《中华人民共和国预算法》和《财政违法行为处罚处分条例》（国务院令427号）等法律法规及相关规定进行严肃处理，涉及违法犯罪的，移送司法机关处理。</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4"/>
        </w:numPr>
        <w:kinsoku/>
        <w:wordWrap/>
        <w:overflowPunct/>
        <w:topLinePunct w:val="0"/>
        <w:bidi w:val="0"/>
        <w:snapToGrid/>
        <w:spacing w:line="540" w:lineRule="exact"/>
        <w:ind w:left="0" w:leftChars="0" w:right="0" w:rightChars="0" w:firstLine="640" w:firstLineChars="200"/>
        <w:jc w:val="center"/>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附则</w:t>
      </w:r>
    </w:p>
    <w:p>
      <w:pPr>
        <w:pStyle w:val="3"/>
        <w:keepNext w:val="0"/>
        <w:keepLines w:val="0"/>
        <w:pageBreakBefore w:val="0"/>
        <w:numPr>
          <w:ilvl w:val="0"/>
          <w:numId w:val="0"/>
        </w:numPr>
        <w:kinsoku/>
        <w:wordWrap/>
        <w:overflowPunct/>
        <w:topLinePunct w:val="0"/>
        <w:bidi w:val="0"/>
        <w:snapToGrid/>
        <w:spacing w:line="540" w:lineRule="exact"/>
        <w:ind w:left="0" w:leftChars="0" w:right="0" w:rightChars="0" w:firstLine="420" w:firstLineChars="200"/>
        <w:jc w:val="both"/>
        <w:textAlignment w:val="auto"/>
        <w:rPr>
          <w:rFonts w:hint="eastAsia"/>
          <w:lang w:val="en-US" w:eastAsia="zh-CN"/>
        </w:rPr>
      </w:pP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条  本细则由市工业和信息化局负责解释，可视有关工作要求或相关评估情况进行调整。</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本细则自发布之日起施行，有效期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AD5"/>
    <w:multiLevelType w:val="multilevel"/>
    <w:tmpl w:val="0E712AD5"/>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B4F6F8"/>
    <w:multiLevelType w:val="singleLevel"/>
    <w:tmpl w:val="1FB4F6F8"/>
    <w:lvl w:ilvl="0" w:tentative="0">
      <w:start w:val="6"/>
      <w:numFmt w:val="chineseCounting"/>
      <w:suff w:val="space"/>
      <w:lvlText w:val="第%1章"/>
      <w:lvlJc w:val="left"/>
      <w:rPr>
        <w:rFonts w:hint="eastAsia"/>
      </w:rPr>
    </w:lvl>
  </w:abstractNum>
  <w:abstractNum w:abstractNumId="2">
    <w:nsid w:val="37C56F1B"/>
    <w:multiLevelType w:val="singleLevel"/>
    <w:tmpl w:val="37C56F1B"/>
    <w:lvl w:ilvl="0" w:tentative="0">
      <w:start w:val="1"/>
      <w:numFmt w:val="chineseCounting"/>
      <w:suff w:val="nothing"/>
      <w:lvlText w:val="（%1）"/>
      <w:lvlJc w:val="left"/>
      <w:rPr>
        <w:rFonts w:hint="eastAsia"/>
      </w:rPr>
    </w:lvl>
  </w:abstractNum>
  <w:abstractNum w:abstractNumId="3">
    <w:nsid w:val="4AF87C2D"/>
    <w:multiLevelType w:val="singleLevel"/>
    <w:tmpl w:val="4AF87C2D"/>
    <w:lvl w:ilvl="0" w:tentative="0">
      <w:start w:val="7"/>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2F"/>
    <w:rsid w:val="00015A4C"/>
    <w:rsid w:val="00085E99"/>
    <w:rsid w:val="000957F1"/>
    <w:rsid w:val="000D177B"/>
    <w:rsid w:val="00102365"/>
    <w:rsid w:val="001100A0"/>
    <w:rsid w:val="00121FC1"/>
    <w:rsid w:val="00122995"/>
    <w:rsid w:val="00171BF7"/>
    <w:rsid w:val="001867B1"/>
    <w:rsid w:val="001E0270"/>
    <w:rsid w:val="00221903"/>
    <w:rsid w:val="00240AC9"/>
    <w:rsid w:val="002417C0"/>
    <w:rsid w:val="002773E4"/>
    <w:rsid w:val="002A2AB4"/>
    <w:rsid w:val="002A6C81"/>
    <w:rsid w:val="002E27A2"/>
    <w:rsid w:val="002F3471"/>
    <w:rsid w:val="002F5FBA"/>
    <w:rsid w:val="003232D9"/>
    <w:rsid w:val="0036087D"/>
    <w:rsid w:val="003708C7"/>
    <w:rsid w:val="003A4017"/>
    <w:rsid w:val="003A7DC0"/>
    <w:rsid w:val="003B12F4"/>
    <w:rsid w:val="003B78B9"/>
    <w:rsid w:val="003F3DE9"/>
    <w:rsid w:val="00401DCA"/>
    <w:rsid w:val="0040582F"/>
    <w:rsid w:val="00440BA9"/>
    <w:rsid w:val="0045196C"/>
    <w:rsid w:val="004D764D"/>
    <w:rsid w:val="004D78E1"/>
    <w:rsid w:val="004D7BF6"/>
    <w:rsid w:val="004E5174"/>
    <w:rsid w:val="00515751"/>
    <w:rsid w:val="0054326B"/>
    <w:rsid w:val="00576039"/>
    <w:rsid w:val="005E4400"/>
    <w:rsid w:val="00625F3A"/>
    <w:rsid w:val="006260F0"/>
    <w:rsid w:val="00631148"/>
    <w:rsid w:val="00652ED3"/>
    <w:rsid w:val="006A2DC5"/>
    <w:rsid w:val="006B797C"/>
    <w:rsid w:val="006F15A4"/>
    <w:rsid w:val="006F46A3"/>
    <w:rsid w:val="007D0811"/>
    <w:rsid w:val="00802520"/>
    <w:rsid w:val="0083007A"/>
    <w:rsid w:val="00831083"/>
    <w:rsid w:val="00835DA7"/>
    <w:rsid w:val="00861E56"/>
    <w:rsid w:val="008653FE"/>
    <w:rsid w:val="008868A7"/>
    <w:rsid w:val="00887CB5"/>
    <w:rsid w:val="008C2A5B"/>
    <w:rsid w:val="008D546B"/>
    <w:rsid w:val="0090243E"/>
    <w:rsid w:val="00903138"/>
    <w:rsid w:val="00914762"/>
    <w:rsid w:val="00937062"/>
    <w:rsid w:val="009453F7"/>
    <w:rsid w:val="00955989"/>
    <w:rsid w:val="00994D59"/>
    <w:rsid w:val="009B6B08"/>
    <w:rsid w:val="009F5B73"/>
    <w:rsid w:val="00AC775E"/>
    <w:rsid w:val="00AD3E15"/>
    <w:rsid w:val="00AE2C1C"/>
    <w:rsid w:val="00AE4539"/>
    <w:rsid w:val="00B06458"/>
    <w:rsid w:val="00B3657E"/>
    <w:rsid w:val="00B40138"/>
    <w:rsid w:val="00B46807"/>
    <w:rsid w:val="00B56796"/>
    <w:rsid w:val="00B63925"/>
    <w:rsid w:val="00B80261"/>
    <w:rsid w:val="00B866D0"/>
    <w:rsid w:val="00BA48A2"/>
    <w:rsid w:val="00BA5F27"/>
    <w:rsid w:val="00C513EF"/>
    <w:rsid w:val="00C950AA"/>
    <w:rsid w:val="00CD756D"/>
    <w:rsid w:val="00DB7FCD"/>
    <w:rsid w:val="00DC021B"/>
    <w:rsid w:val="00DF7888"/>
    <w:rsid w:val="00E07BFF"/>
    <w:rsid w:val="00E250D3"/>
    <w:rsid w:val="00E357FE"/>
    <w:rsid w:val="00E919FC"/>
    <w:rsid w:val="00E974E7"/>
    <w:rsid w:val="00EA75D5"/>
    <w:rsid w:val="00EA7DD1"/>
    <w:rsid w:val="00EC14D6"/>
    <w:rsid w:val="00F03E07"/>
    <w:rsid w:val="00FB17A8"/>
    <w:rsid w:val="030947F2"/>
    <w:rsid w:val="036150F6"/>
    <w:rsid w:val="03DE1B8E"/>
    <w:rsid w:val="08C35516"/>
    <w:rsid w:val="093850BE"/>
    <w:rsid w:val="0A445681"/>
    <w:rsid w:val="0ED065C0"/>
    <w:rsid w:val="0F883EFD"/>
    <w:rsid w:val="10C60628"/>
    <w:rsid w:val="162D1E07"/>
    <w:rsid w:val="18E37D23"/>
    <w:rsid w:val="1C8E4C0B"/>
    <w:rsid w:val="1CEE6E7A"/>
    <w:rsid w:val="1E875D9B"/>
    <w:rsid w:val="20870F3B"/>
    <w:rsid w:val="20BD3FB9"/>
    <w:rsid w:val="236E25C3"/>
    <w:rsid w:val="25421643"/>
    <w:rsid w:val="27827876"/>
    <w:rsid w:val="344125CC"/>
    <w:rsid w:val="3F3C3B9D"/>
    <w:rsid w:val="41CE76D7"/>
    <w:rsid w:val="428672DE"/>
    <w:rsid w:val="43405FF3"/>
    <w:rsid w:val="47D8767A"/>
    <w:rsid w:val="4C2D7120"/>
    <w:rsid w:val="4F5F1D9F"/>
    <w:rsid w:val="54155B02"/>
    <w:rsid w:val="5C301FA8"/>
    <w:rsid w:val="647C7AAB"/>
    <w:rsid w:val="6A6B12FC"/>
    <w:rsid w:val="6C7B5E88"/>
    <w:rsid w:val="70054CA9"/>
    <w:rsid w:val="70E634AE"/>
    <w:rsid w:val="7186296C"/>
    <w:rsid w:val="74455668"/>
    <w:rsid w:val="75190D3D"/>
    <w:rsid w:val="78AC2A40"/>
    <w:rsid w:val="7BD94B53"/>
    <w:rsid w:val="7BFC215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widowControl/>
      <w:spacing w:line="415" w:lineRule="auto"/>
      <w:outlineLvl w:val="1"/>
    </w:pPr>
    <w:rPr>
      <w:rFonts w:ascii="Calibri Light" w:hAnsi="Calibri Light" w:cs="宋体"/>
      <w:b/>
      <w:bCs/>
      <w:kern w:val="0"/>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semiHidden/>
    <w:unhideWhenUsed/>
    <w:qFormat/>
    <w:uiPriority w:val="99"/>
    <w:rPr>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535353"/>
      <w:szCs w:val="20"/>
      <w:u w:val="none"/>
    </w:rPr>
  </w:style>
  <w:style w:type="paragraph" w:styleId="10">
    <w:name w:val="List Paragraph"/>
    <w:basedOn w:val="1"/>
    <w:qFormat/>
    <w:uiPriority w:val="34"/>
    <w:pPr>
      <w:ind w:firstLine="420" w:firstLineChars="200"/>
    </w:p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paragraph" w:customStyle="1" w:styleId="13">
    <w:name w:val="_Style 4"/>
    <w:basedOn w:val="1"/>
    <w:qFormat/>
    <w:uiPriority w:val="0"/>
    <w:rPr>
      <w:rFonts w:ascii="Times New Roman" w:hAnsi="Times New Roman" w:eastAsia="宋体" w:cs="Times New Roman"/>
      <w:szCs w:val="20"/>
      <w:lang w:bidi="bo-CN"/>
    </w:rPr>
  </w:style>
  <w:style w:type="character" w:customStyle="1" w:styleId="14">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1A123-F6CE-4D75-8C1B-766F3AEB8D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637</Words>
  <Characters>3636</Characters>
  <Lines>30</Lines>
  <Paragraphs>8</Paragraphs>
  <ScaleCrop>false</ScaleCrop>
  <LinksUpToDate>false</LinksUpToDate>
  <CharactersWithSpaces>4265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2021-07-01T10:59:00Z</dcterms:created>
  <dc:creator>谭茜</dc:creator>
  <cp:lastModifiedBy>茜茜</cp:lastModifiedBy>
  <cp:lastPrinted>2021-05-17T03:21:00Z</cp:lastPrinted>
  <dcterms:modified xsi:type="dcterms:W3CDTF">2022-03-04T02:41:25Z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55C9A9B01BD848878C9982592CB06C4F</vt:lpwstr>
  </property>
</Properties>
</file>