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p>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p>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keepNext w:val="0"/>
        <w:keepLines w:val="0"/>
        <w:pageBreakBefore w:val="0"/>
        <w:kinsoku/>
        <w:overflowPunct/>
        <w:topLinePunct w:val="0"/>
        <w:autoSpaceDE/>
        <w:autoSpaceDN/>
        <w:bidi w:val="0"/>
        <w:spacing w:line="360" w:lineRule="auto"/>
        <w:ind w:firstLine="2240" w:firstLineChars="700"/>
        <w:textAlignment w:val="auto"/>
        <w:rPr>
          <w:rFonts w:hint="eastAsia" w:ascii="仿宋" w:hAnsi="仿宋" w:eastAsia="仿宋" w:cs="仿宋"/>
          <w:sz w:val="32"/>
          <w:szCs w:val="32"/>
          <w:highlight w:val="none"/>
        </w:rPr>
        <w:sectPr>
          <w:headerReference r:id="rId3" w:type="default"/>
          <w:footerReference r:id="rId4" w:type="default"/>
          <w:footerReference r:id="rId5" w:type="even"/>
          <w:pgSz w:w="11906" w:h="16838"/>
          <w:pgMar w:top="1134" w:right="1701" w:bottom="1361" w:left="1701" w:header="851" w:footer="992" w:gutter="0"/>
          <w:pgNumType w:fmt="decimal" w:start="1"/>
          <w:cols w:space="425" w:num="2"/>
          <w:docGrid w:type="lines" w:linePitch="312" w:charSpace="0"/>
        </w:sect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rPr>
      </w:pPr>
      <w:r>
        <w:rPr>
          <w:rFonts w:hint="eastAsia" w:asciiTheme="minorEastAsia" w:hAnsiTheme="minorEastAsia" w:eastAsiaTheme="minorEastAsia"/>
          <w:b/>
          <w:bCs/>
          <w:sz w:val="36"/>
          <w:szCs w:val="36"/>
          <w:highlight w:val="none"/>
          <w:lang w:eastAsia="zh-CN"/>
        </w:rPr>
        <w:t>湛江市民政局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6"/>
          <w:szCs w:val="36"/>
          <w:highlight w:val="none"/>
          <w:lang w:eastAsia="zh-CN"/>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w:t>
      </w:r>
      <w:r>
        <w:rPr>
          <w:rFonts w:hint="eastAsia" w:asciiTheme="minorEastAsia" w:hAnsiTheme="minorEastAsia" w:eastAsiaTheme="minorEastAsia"/>
          <w:b/>
          <w:bCs/>
          <w:sz w:val="36"/>
          <w:szCs w:val="36"/>
          <w:highlight w:val="none"/>
          <w:lang w:eastAsia="zh-CN"/>
        </w:rPr>
        <w:t>度</w:t>
      </w:r>
      <w:r>
        <w:rPr>
          <w:rFonts w:hint="eastAsia" w:asciiTheme="minorEastAsia" w:hAnsiTheme="minorEastAsia" w:eastAsiaTheme="minorEastAsia"/>
          <w:b/>
          <w:bCs/>
          <w:sz w:val="36"/>
          <w:szCs w:val="36"/>
          <w:highlight w:val="none"/>
        </w:rPr>
        <w:t>项目</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eastAsia="zh-CN"/>
        </w:rPr>
        <w:t>核查</w:t>
      </w:r>
      <w:r>
        <w:rPr>
          <w:rFonts w:hint="eastAsia" w:asciiTheme="minorEastAsia" w:hAnsiTheme="minorEastAsia" w:eastAsiaTheme="minorEastAsia"/>
          <w:b/>
          <w:bCs/>
          <w:sz w:val="36"/>
          <w:szCs w:val="36"/>
          <w:highlight w:val="none"/>
        </w:rPr>
        <w:t>报告</w:t>
      </w:r>
    </w:p>
    <w:p>
      <w:pPr>
        <w:jc w:val="center"/>
        <w:rPr>
          <w:rFonts w:ascii="Times New Roman" w:hAnsi="Times New Roman" w:eastAsia="仿宋_GB2312"/>
          <w:b/>
          <w:kern w:val="0"/>
          <w:sz w:val="36"/>
          <w:szCs w:val="36"/>
          <w:highlight w:val="none"/>
        </w:rPr>
      </w:pP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湛江市财政局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32"/>
          <w:szCs w:val="32"/>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月</w:t>
      </w:r>
    </w:p>
    <w:p>
      <w:pPr>
        <w:pStyle w:val="37"/>
        <w:rPr>
          <w:rFonts w:hint="eastAsia" w:ascii="仿宋_GB2312" w:hAnsi="仿宋_GB2312" w:eastAsia="仿宋_GB2312" w:cs="仿宋_GB2312"/>
          <w:sz w:val="32"/>
          <w:szCs w:val="40"/>
          <w:highlight w:val="none"/>
        </w:rPr>
      </w:pPr>
    </w:p>
    <w:p>
      <w:pPr>
        <w:pStyle w:val="9"/>
        <w:widowControl/>
        <w:tabs>
          <w:tab w:val="right" w:leader="dot" w:pos="8958"/>
        </w:tabs>
        <w:spacing w:before="240" w:after="120" w:line="520" w:lineRule="exact"/>
        <w:jc w:val="both"/>
        <w:rPr>
          <w:rFonts w:hint="eastAsia" w:ascii="Cambria" w:hAnsi="Cambria" w:eastAsia="方正小标宋简体"/>
          <w:caps/>
          <w:sz w:val="36"/>
          <w:szCs w:val="36"/>
          <w:highlight w:val="none"/>
          <w:lang w:val="zh-CN"/>
        </w:rPr>
        <w:sectPr>
          <w:footerReference r:id="rId6"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jc w:val="center"/>
        <w:rPr>
          <w:rFonts w:hint="eastAsia" w:ascii="仿宋" w:hAnsi="仿宋" w:eastAsia="仿宋" w:cs="仿宋"/>
          <w:b/>
          <w:bCs/>
          <w:caps/>
          <w:kern w:val="2"/>
          <w:sz w:val="36"/>
          <w:szCs w:val="36"/>
          <w:highlight w:val="none"/>
          <w:lang w:val="en-US" w:eastAsia="zh-CN" w:bidi="ar-SA"/>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18" w:right="1418" w:bottom="1418" w:left="1418" w:header="851" w:footer="992" w:gutter="0"/>
          <w:pgNumType w:fmt="decimal"/>
          <w:cols w:space="720" w:num="1"/>
          <w:docGrid w:type="lines" w:linePitch="312" w:charSpace="0"/>
        </w:sect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_Toc4951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一、项目基本情况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_Toc4951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_Toc17530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（一）项目概况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_Toc17530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_Toc17257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（二）项目立项依据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_Toc17257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_Toc1156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（三）项目</w:t>
      </w:r>
      <w:r>
        <w:rPr>
          <w:rFonts w:hint="eastAsia" w:ascii="仿宋" w:hAnsi="仿宋" w:eastAsia="仿宋" w:cs="仿宋"/>
          <w:sz w:val="28"/>
          <w:szCs w:val="28"/>
          <w:highlight w:val="none"/>
        </w:rPr>
        <w:t>绩效目标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_Toc1156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_Toc26798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（四）项目建设内容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_Toc26798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_Toc25132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eastAsia="zh-CN"/>
        </w:rPr>
        <w:t>、核查工作开展情况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_Toc25132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_Toc28273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（一）评价目的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_Toc28273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_Toc24406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评价过程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_Toc24406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（三）评价原则和方法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_Toc19758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三、项目实施情况</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_Toc19758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_Toc18632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项目实施情况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_Toc18632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_Toc18859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（二）项目资金情况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_Toc18859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_Toc15964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四、核查结论</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_Toc15964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4</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_Toc13877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存在问题</w:t>
      </w:r>
      <w:r>
        <w:rPr>
          <w:rFonts w:hint="eastAsia" w:ascii="仿宋" w:hAnsi="仿宋" w:eastAsia="仿宋" w:cs="仿宋"/>
          <w:b/>
          <w:bCs/>
          <w:sz w:val="28"/>
          <w:szCs w:val="28"/>
          <w:highlight w:val="none"/>
          <w:lang w:eastAsia="zh-CN"/>
        </w:rPr>
        <w:t>及相关建议</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_Toc4560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p>
    <w:p>
      <w:pPr>
        <w:pStyle w:val="42"/>
        <w:tabs>
          <w:tab w:val="right" w:leader="dot" w:pos="9070"/>
        </w:tabs>
        <w:rPr>
          <w:rFonts w:hint="eastAsia" w:ascii="仿宋" w:hAnsi="仿宋" w:eastAsia="仿宋" w:cs="仿宋"/>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_Toc121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eastAsia="zh-CN"/>
        </w:rPr>
        <w:t>湛江市民政局202</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年度项目支出</w:t>
      </w:r>
      <w:r>
        <w:rPr>
          <w:rFonts w:hint="eastAsia" w:ascii="仿宋" w:hAnsi="仿宋" w:eastAsia="仿宋" w:cs="仿宋"/>
          <w:b/>
          <w:bCs/>
          <w:sz w:val="28"/>
          <w:szCs w:val="28"/>
          <w:highlight w:val="none"/>
        </w:rPr>
        <w:t>绩效</w:t>
      </w:r>
      <w:r>
        <w:rPr>
          <w:rFonts w:hint="eastAsia" w:ascii="仿宋" w:hAnsi="仿宋" w:eastAsia="仿宋" w:cs="仿宋"/>
          <w:b/>
          <w:bCs/>
          <w:sz w:val="28"/>
          <w:szCs w:val="28"/>
          <w:highlight w:val="none"/>
          <w:lang w:val="en-US" w:eastAsia="zh-CN"/>
        </w:rPr>
        <w:t>指标评分表</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fldChar w:fldCharType="end"/>
      </w:r>
    </w:p>
    <w:p>
      <w:pPr>
        <w:pStyle w:val="42"/>
        <w:tabs>
          <w:tab w:val="right" w:leader="dot" w:pos="9070"/>
        </w:tabs>
        <w:rPr>
          <w:rFonts w:hint="eastAsia" w:ascii="仿宋" w:hAnsi="仿宋" w:eastAsia="仿宋" w:cs="仿宋"/>
          <w:sz w:val="32"/>
          <w:szCs w:val="32"/>
          <w:highlight w:val="none"/>
        </w:rPr>
      </w:pPr>
      <w:r>
        <w:rPr>
          <w:rFonts w:hint="eastAsia" w:ascii="仿宋" w:hAnsi="仿宋" w:eastAsia="仿宋" w:cs="仿宋"/>
          <w:sz w:val="28"/>
          <w:szCs w:val="28"/>
          <w:highlight w:val="none"/>
        </w:rPr>
        <w:fldChar w:fldCharType="end"/>
      </w:r>
    </w:p>
    <w:p>
      <w:pPr>
        <w:rPr>
          <w:highlight w:val="none"/>
        </w:rPr>
        <w:sectPr>
          <w:footerReference r:id="rId13" w:type="default"/>
          <w:pgSz w:w="11906" w:h="16838"/>
          <w:pgMar w:top="1418" w:right="1418" w:bottom="1418" w:left="1418" w:header="851" w:footer="992" w:gutter="0"/>
          <w:pgNumType w:fmt="decimal" w:start="1"/>
          <w:cols w:space="720" w:num="1"/>
          <w:docGrid w:type="lines" w:linePitch="312" w:charSpace="0"/>
        </w:sectPr>
      </w:pPr>
    </w:p>
    <w:tbl>
      <w:tblPr>
        <w:tblStyle w:val="13"/>
        <w:tblW w:w="0" w:type="auto"/>
        <w:jc w:val="center"/>
        <w:tblLayout w:type="fixed"/>
        <w:tblCellMar>
          <w:top w:w="0" w:type="dxa"/>
          <w:left w:w="108" w:type="dxa"/>
          <w:bottom w:w="0" w:type="dxa"/>
          <w:right w:w="108" w:type="dxa"/>
        </w:tblCellMar>
      </w:tblPr>
      <w:tblGrid>
        <w:gridCol w:w="1276"/>
        <w:gridCol w:w="7226"/>
      </w:tblGrid>
      <w:tr>
        <w:tblPrEx>
          <w:tblCellMar>
            <w:top w:w="0" w:type="dxa"/>
            <w:left w:w="108" w:type="dxa"/>
            <w:bottom w:w="0" w:type="dxa"/>
            <w:right w:w="108" w:type="dxa"/>
          </w:tblCellMar>
        </w:tblPrEx>
        <w:trPr>
          <w:cantSplit/>
          <w:trHeight w:val="629" w:hRule="atLeast"/>
          <w:jc w:val="center"/>
        </w:trPr>
        <w:tc>
          <w:tcPr>
            <w:tcW w:w="1276" w:type="dxa"/>
            <w:vMerge w:val="restart"/>
          </w:tcPr>
          <w:tbl>
            <w:tblPr>
              <w:tblStyle w:val="13"/>
              <w:tblW w:w="0" w:type="auto"/>
              <w:tblInd w:w="0" w:type="dxa"/>
              <w:tblLayout w:type="fixed"/>
              <w:tblCellMar>
                <w:top w:w="0" w:type="dxa"/>
                <w:left w:w="108" w:type="dxa"/>
                <w:bottom w:w="0" w:type="dxa"/>
                <w:right w:w="108" w:type="dxa"/>
              </w:tblCellMar>
            </w:tblPr>
            <w:tblGrid>
              <w:gridCol w:w="2522"/>
              <w:gridCol w:w="2522"/>
            </w:tblGrid>
            <w:tr>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60288" behindDoc="0" locked="0" layoutInCell="1" allowOverlap="1">
                        <wp:simplePos x="0" y="0"/>
                        <wp:positionH relativeFrom="column">
                          <wp:posOffset>-62865</wp:posOffset>
                        </wp:positionH>
                        <wp:positionV relativeFrom="paragraph">
                          <wp:posOffset>-1270</wp:posOffset>
                        </wp:positionV>
                        <wp:extent cx="695325" cy="695325"/>
                        <wp:effectExtent l="0" t="0" r="9525" b="9525"/>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blPrEx>
                <w:tblCellMar>
                  <w:top w:w="0" w:type="dxa"/>
                  <w:left w:w="108" w:type="dxa"/>
                  <w:bottom w:w="0" w:type="dxa"/>
                  <w:right w:w="108" w:type="dxa"/>
                </w:tblCellMar>
              </w:tblPrEx>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1312;mso-width-relative:page;mso-height-relative:page;" filled="f" stroked="t" coordsize="21600,21600" o:gfxdata="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bBKXUAAAACAEAAA8AAAAAAAAAAQAgAAAAIgAAAGRycy9kb3ducmV2Lnht&#10;bFBLAQIUABQAAAAIAIdO4kDu+4EF/QEAAOADAAAOAAAAAAAAAAEAIAAAACMBAABkcnMvZTJvRG9j&#10;LnhtbFBLBQYAAAAABgAGAFkBAACSBQAAAAA=&#10;">
                      <v:fill on="f" focussize="0,0"/>
                      <v:stroke weight="1.5pt" color="#000000 [3200]" joinstyle="round"/>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blPrEx>
          <w:tblCellMar>
            <w:top w:w="0" w:type="dxa"/>
            <w:left w:w="108" w:type="dxa"/>
            <w:bottom w:w="0" w:type="dxa"/>
            <w:right w:w="108" w:type="dxa"/>
          </w:tblCellMar>
        </w:tblPrEx>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kinsoku/>
        <w:wordWrap/>
        <w:overflowPunct/>
        <w:topLinePunct w:val="0"/>
        <w:autoSpaceDE/>
        <w:autoSpaceDN/>
        <w:bidi w:val="0"/>
        <w:snapToGrid w:val="0"/>
        <w:spacing w:line="360" w:lineRule="auto"/>
        <w:ind w:firstLine="480" w:firstLineChars="200"/>
        <w:jc w:val="right"/>
        <w:textAlignment w:val="auto"/>
        <w:rPr>
          <w:rFonts w:hint="eastAsia" w:ascii="仿宋" w:hAnsi="仿宋" w:eastAsia="仿宋" w:cs="仿宋"/>
          <w:color w:val="auto"/>
          <w:kern w:val="2"/>
          <w:sz w:val="28"/>
          <w:szCs w:val="28"/>
          <w:highlight w:val="none"/>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37"/>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lang w:eastAsia="zh-CN"/>
        </w:rPr>
        <w:t>湛江市民政局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6"/>
          <w:szCs w:val="36"/>
          <w:highlight w:val="none"/>
          <w:lang w:eastAsia="zh-CN"/>
        </w:rPr>
      </w:pPr>
      <w:r>
        <w:rPr>
          <w:rFonts w:hint="eastAsia" w:ascii="宋体" w:hAnsi="宋体" w:eastAsia="宋体" w:cs="宋体"/>
          <w:b/>
          <w:bCs/>
          <w:sz w:val="36"/>
          <w:szCs w:val="36"/>
          <w:highlight w:val="none"/>
          <w:lang w:eastAsia="zh-CN"/>
        </w:rPr>
        <w:t>202</w:t>
      </w:r>
      <w:r>
        <w:rPr>
          <w:rFonts w:hint="eastAsia" w:ascii="宋体" w:hAnsi="宋体" w:cs="宋体"/>
          <w:b/>
          <w:bCs/>
          <w:sz w:val="36"/>
          <w:szCs w:val="36"/>
          <w:highlight w:val="none"/>
          <w:lang w:val="en-US" w:eastAsia="zh-CN"/>
        </w:rPr>
        <w:t>2</w:t>
      </w:r>
      <w:r>
        <w:rPr>
          <w:rFonts w:hint="eastAsia" w:ascii="宋体" w:hAnsi="宋体" w:eastAsia="宋体" w:cs="宋体"/>
          <w:b/>
          <w:bCs/>
          <w:sz w:val="36"/>
          <w:szCs w:val="36"/>
          <w:highlight w:val="none"/>
          <w:lang w:eastAsia="zh-CN"/>
        </w:rPr>
        <w:t>年度项目支出绩效</w:t>
      </w:r>
      <w:r>
        <w:rPr>
          <w:rFonts w:hint="eastAsia" w:ascii="宋体" w:hAnsi="宋体" w:cs="宋体"/>
          <w:b/>
          <w:bCs/>
          <w:sz w:val="36"/>
          <w:szCs w:val="36"/>
          <w:highlight w:val="none"/>
          <w:lang w:eastAsia="zh-CN"/>
        </w:rPr>
        <w:t>核查</w:t>
      </w:r>
      <w:r>
        <w:rPr>
          <w:rFonts w:hint="eastAsia" w:ascii="宋体" w:hAnsi="宋体" w:eastAsia="宋体" w:cs="宋体"/>
          <w:b/>
          <w:bCs/>
          <w:sz w:val="36"/>
          <w:szCs w:val="36"/>
          <w:highlight w:val="none"/>
          <w:lang w:eastAsia="zh-CN"/>
        </w:rPr>
        <w:t>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 w:hAnsi="仿宋" w:eastAsia="仿宋" w:cs="仿宋"/>
          <w:color w:val="auto"/>
          <w:kern w:val="2"/>
          <w:sz w:val="32"/>
          <w:szCs w:val="32"/>
          <w:highlight w:val="none"/>
        </w:rPr>
      </w:pPr>
      <w:r>
        <w:rPr>
          <w:rFonts w:hint="eastAsia" w:ascii="仿宋" w:hAnsi="仿宋" w:eastAsia="仿宋" w:cs="仿宋"/>
          <w:b/>
          <w:bCs/>
          <w:color w:val="auto"/>
          <w:sz w:val="28"/>
          <w:szCs w:val="28"/>
          <w:highlight w:val="none"/>
          <w:lang w:val="en-US" w:eastAsia="zh-CN"/>
        </w:rPr>
        <w:t>湛江市财政局：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根据《国务院关于进一步深化预算管理制度改革的意见》（国发〔2021〕5号）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《广东省人民政府关于加强统筹进一步深化预算管理制度改革的实施意见》（粤府〔2021〕34 号）的文件精神，按照财政部关于印发《项目支出绩效评价管理办法》的通知</w:t>
      </w:r>
      <w:r>
        <w:rPr>
          <w:rFonts w:hint="eastAsia" w:ascii="仿宋" w:hAnsi="仿宋" w:eastAsia="仿宋" w:cs="仿宋"/>
          <w:color w:val="auto"/>
          <w:kern w:val="2"/>
          <w:sz w:val="28"/>
          <w:szCs w:val="28"/>
          <w:highlight w:val="none"/>
          <w:lang w:val="en-US" w:eastAsia="zh-CN"/>
        </w:rPr>
        <w:t>(</w:t>
      </w:r>
      <w:r>
        <w:rPr>
          <w:rFonts w:hint="eastAsia" w:ascii="仿宋" w:hAnsi="仿宋" w:eastAsia="仿宋" w:cs="仿宋"/>
          <w:color w:val="auto"/>
          <w:kern w:val="2"/>
          <w:sz w:val="28"/>
          <w:szCs w:val="28"/>
          <w:highlight w:val="none"/>
        </w:rPr>
        <w:t>财预〔202</w:t>
      </w:r>
      <w:r>
        <w:rPr>
          <w:rFonts w:hint="eastAsia" w:ascii="仿宋" w:hAnsi="仿宋" w:eastAsia="仿宋" w:cs="仿宋"/>
          <w:color w:val="auto"/>
          <w:kern w:val="2"/>
          <w:sz w:val="28"/>
          <w:szCs w:val="28"/>
          <w:highlight w:val="none"/>
          <w:lang w:val="en-US" w:eastAsia="zh-CN"/>
        </w:rPr>
        <w:t>0</w:t>
      </w:r>
      <w:r>
        <w:rPr>
          <w:rFonts w:hint="eastAsia" w:ascii="仿宋" w:hAnsi="仿宋" w:eastAsia="仿宋" w:cs="仿宋"/>
          <w:color w:val="auto"/>
          <w:kern w:val="2"/>
          <w:sz w:val="28"/>
          <w:szCs w:val="28"/>
          <w:highlight w:val="none"/>
        </w:rPr>
        <w:t>〕10号</w:t>
      </w:r>
      <w:r>
        <w:rPr>
          <w:rFonts w:hint="eastAsia" w:ascii="仿宋" w:hAnsi="仿宋" w:eastAsia="仿宋" w:cs="仿宋"/>
          <w:color w:val="auto"/>
          <w:kern w:val="2"/>
          <w:sz w:val="28"/>
          <w:szCs w:val="28"/>
          <w:highlight w:val="none"/>
          <w:lang w:val="en-US" w:eastAsia="zh-CN"/>
        </w:rPr>
        <w:t>)以及</w:t>
      </w:r>
      <w:r>
        <w:rPr>
          <w:rFonts w:hint="eastAsia" w:ascii="仿宋" w:hAnsi="仿宋" w:eastAsia="仿宋" w:cs="仿宋"/>
          <w:color w:val="auto"/>
          <w:kern w:val="2"/>
          <w:sz w:val="28"/>
          <w:szCs w:val="28"/>
          <w:highlight w:val="none"/>
          <w:lang w:eastAsia="zh-CN"/>
        </w:rPr>
        <w:t>湛江市财政局《湛江财政局关于开展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等有关</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要求，受</w:t>
      </w:r>
      <w:r>
        <w:rPr>
          <w:rFonts w:hint="eastAsia" w:ascii="仿宋" w:hAnsi="仿宋" w:eastAsia="仿宋" w:cs="仿宋"/>
          <w:color w:val="auto"/>
          <w:kern w:val="2"/>
          <w:sz w:val="28"/>
          <w:szCs w:val="28"/>
          <w:highlight w:val="none"/>
          <w:lang w:eastAsia="zh-CN"/>
        </w:rPr>
        <w:t>湛江市财政局</w:t>
      </w:r>
      <w:r>
        <w:rPr>
          <w:rFonts w:hint="eastAsia" w:ascii="仿宋" w:hAnsi="仿宋" w:eastAsia="仿宋" w:cs="仿宋"/>
          <w:color w:val="auto"/>
          <w:kern w:val="2"/>
          <w:sz w:val="28"/>
          <w:szCs w:val="28"/>
          <w:highlight w:val="none"/>
        </w:rPr>
        <w:t>委托，</w:t>
      </w:r>
      <w:r>
        <w:rPr>
          <w:rFonts w:hint="eastAsia" w:ascii="仿宋" w:hAnsi="仿宋" w:eastAsia="仿宋" w:cs="仿宋"/>
          <w:kern w:val="0"/>
          <w:sz w:val="28"/>
          <w:szCs w:val="28"/>
          <w:highlight w:val="none"/>
          <w:lang w:eastAsia="zh-CN"/>
        </w:rPr>
        <w:t>广东诚安信会计师事务所</w:t>
      </w:r>
      <w:r>
        <w:rPr>
          <w:rFonts w:hint="eastAsia" w:ascii="仿宋" w:hAnsi="仿宋" w:eastAsia="仿宋" w:cs="仿宋"/>
          <w:color w:val="auto"/>
          <w:sz w:val="28"/>
          <w:szCs w:val="28"/>
          <w:highlight w:val="none"/>
          <w:lang w:val="en-US" w:eastAsia="zh-CN"/>
        </w:rPr>
        <w:t>对湛江市民政局2022年度项目支出</w:t>
      </w:r>
      <w:r>
        <w:rPr>
          <w:rFonts w:hint="eastAsia" w:ascii="仿宋" w:hAnsi="仿宋" w:eastAsia="仿宋" w:cs="仿宋"/>
          <w:color w:val="auto"/>
          <w:sz w:val="28"/>
          <w:szCs w:val="28"/>
          <w:highlight w:val="none"/>
          <w:lang w:eastAsia="zh-CN"/>
        </w:rPr>
        <w:t>进行</w:t>
      </w:r>
      <w:r>
        <w:rPr>
          <w:rFonts w:hint="eastAsia" w:ascii="仿宋" w:hAnsi="仿宋" w:eastAsia="仿宋" w:cs="仿宋"/>
          <w:color w:val="auto"/>
          <w:sz w:val="28"/>
          <w:szCs w:val="28"/>
          <w:highlight w:val="none"/>
        </w:rPr>
        <w:t>绩效评价</w:t>
      </w:r>
      <w:r>
        <w:rPr>
          <w:rFonts w:hint="eastAsia" w:ascii="仿宋" w:hAnsi="仿宋" w:eastAsia="仿宋" w:cs="仿宋"/>
          <w:color w:val="auto"/>
          <w:kern w:val="2"/>
          <w:sz w:val="28"/>
          <w:szCs w:val="28"/>
          <w:highlight w:val="none"/>
        </w:rPr>
        <w:t>。专家小组通过对</w:t>
      </w:r>
      <w:r>
        <w:rPr>
          <w:rFonts w:hint="eastAsia" w:ascii="仿宋" w:hAnsi="仿宋" w:eastAsia="仿宋" w:cs="仿宋"/>
          <w:color w:val="auto"/>
          <w:kern w:val="2"/>
          <w:sz w:val="28"/>
          <w:szCs w:val="28"/>
          <w:highlight w:val="none"/>
          <w:lang w:eastAsia="zh-CN"/>
        </w:rPr>
        <w:t>湛江市应急管理局</w:t>
      </w:r>
      <w:r>
        <w:rPr>
          <w:rFonts w:hint="eastAsia" w:ascii="仿宋" w:hAnsi="仿宋" w:eastAsia="仿宋" w:cs="仿宋"/>
          <w:color w:val="auto"/>
          <w:kern w:val="2"/>
          <w:sz w:val="28"/>
          <w:szCs w:val="28"/>
          <w:highlight w:val="none"/>
          <w:lang w:val="en-US" w:eastAsia="zh-CN"/>
        </w:rPr>
        <w:t>的涉评材料</w:t>
      </w:r>
      <w:r>
        <w:rPr>
          <w:rFonts w:hint="eastAsia" w:ascii="仿宋" w:hAnsi="仿宋" w:eastAsia="仿宋" w:cs="仿宋"/>
          <w:color w:val="auto"/>
          <w:kern w:val="2"/>
          <w:sz w:val="28"/>
          <w:szCs w:val="28"/>
          <w:highlight w:val="none"/>
        </w:rPr>
        <w:t>审核、资金使用管理的合法、合规、合理的审</w:t>
      </w:r>
      <w:r>
        <w:rPr>
          <w:rFonts w:hint="eastAsia" w:ascii="仿宋" w:hAnsi="仿宋" w:eastAsia="仿宋" w:cs="仿宋"/>
          <w:color w:val="auto"/>
          <w:kern w:val="2"/>
          <w:sz w:val="28"/>
          <w:szCs w:val="28"/>
          <w:highlight w:val="none"/>
          <w:lang w:eastAsia="zh-CN"/>
        </w:rPr>
        <w:t>查</w:t>
      </w:r>
      <w:r>
        <w:rPr>
          <w:rFonts w:hint="eastAsia" w:ascii="仿宋" w:hAnsi="仿宋" w:eastAsia="仿宋" w:cs="仿宋"/>
          <w:color w:val="auto"/>
          <w:kern w:val="2"/>
          <w:sz w:val="28"/>
          <w:szCs w:val="28"/>
          <w:highlight w:val="none"/>
        </w:rPr>
        <w:t>，询问了解，进行综合分析、客观公正评价，得出评价结论，并形成《</w:t>
      </w:r>
      <w:r>
        <w:rPr>
          <w:rFonts w:hint="eastAsia" w:ascii="仿宋" w:hAnsi="仿宋" w:eastAsia="仿宋" w:cs="仿宋"/>
          <w:color w:val="auto"/>
          <w:sz w:val="28"/>
          <w:szCs w:val="28"/>
          <w:highlight w:val="none"/>
          <w:lang w:eastAsia="zh-CN"/>
        </w:rPr>
        <w:t>湛江市民政局202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年度项目支出绩效核查报告</w:t>
      </w:r>
      <w:r>
        <w:rPr>
          <w:rFonts w:hint="eastAsia" w:ascii="仿宋" w:hAnsi="仿宋" w:eastAsia="仿宋" w:cs="仿宋"/>
          <w:color w:val="auto"/>
          <w:kern w:val="2"/>
          <w:sz w:val="28"/>
          <w:szCs w:val="28"/>
          <w:highlight w:val="none"/>
        </w:rPr>
        <w:t>》，报告内容具体如下：</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2" w:name="_Toc17798"/>
      <w:bookmarkStart w:id="3" w:name="_Toc19058"/>
      <w:bookmarkStart w:id="4" w:name="_Toc4951"/>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、项目</w:t>
      </w:r>
      <w:bookmarkEnd w:id="3"/>
      <w:r>
        <w:rPr>
          <w:rFonts w:hint="eastAsia" w:ascii="仿宋" w:hAnsi="仿宋" w:eastAsia="仿宋" w:cs="仿宋"/>
          <w:b/>
          <w:bCs/>
          <w:color w:val="auto"/>
          <w:sz w:val="28"/>
          <w:szCs w:val="28"/>
          <w:highlight w:val="none"/>
          <w:lang w:val="en-US" w:eastAsia="zh-CN"/>
        </w:rPr>
        <w:t>基本情况</w:t>
      </w:r>
      <w:bookmarkEnd w:id="4"/>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5" w:name="_Toc6078"/>
      <w:bookmarkStart w:id="6" w:name="_Toc30136"/>
      <w:bookmarkStart w:id="7" w:name="_Toc17530"/>
      <w:r>
        <w:rPr>
          <w:rFonts w:hint="eastAsia" w:ascii="仿宋" w:hAnsi="仿宋" w:eastAsia="仿宋" w:cs="仿宋"/>
          <w:color w:val="auto"/>
          <w:sz w:val="28"/>
          <w:szCs w:val="28"/>
          <w:highlight w:val="none"/>
          <w:lang w:eastAsia="zh-CN"/>
        </w:rPr>
        <w:t>（一）</w:t>
      </w:r>
      <w:bookmarkEnd w:id="5"/>
      <w:bookmarkEnd w:id="6"/>
      <w:r>
        <w:rPr>
          <w:rFonts w:hint="eastAsia" w:ascii="仿宋" w:hAnsi="仿宋" w:eastAsia="仿宋" w:cs="仿宋"/>
          <w:color w:val="auto"/>
          <w:sz w:val="28"/>
          <w:szCs w:val="28"/>
          <w:highlight w:val="none"/>
          <w:lang w:eastAsia="zh-CN"/>
        </w:rPr>
        <w:t>项目概况</w:t>
      </w:r>
      <w:bookmarkEnd w:id="7"/>
    </w:p>
    <w:p>
      <w:pPr>
        <w:keepNext w:val="0"/>
        <w:keepLines w:val="0"/>
        <w:pageBreakBefore w:val="0"/>
        <w:kinsoku/>
        <w:wordWrap/>
        <w:overflowPunct/>
        <w:topLinePunct w:val="0"/>
        <w:autoSpaceDE/>
        <w:autoSpaceDN/>
        <w:bidi w:val="0"/>
        <w:adjustRightInd/>
        <w:snapToGrid w:val="0"/>
        <w:spacing w:line="560" w:lineRule="exact"/>
        <w:ind w:left="1959" w:leftChars="266" w:hanging="1400" w:hangingChars="500"/>
        <w:jc w:val="both"/>
        <w:textAlignment w:val="auto"/>
        <w:rPr>
          <w:rFonts w:hint="default" w:ascii="仿宋" w:hAnsi="仿宋" w:eastAsia="仿宋" w:cs="仿宋"/>
          <w:color w:val="auto"/>
          <w:sz w:val="28"/>
          <w:szCs w:val="28"/>
          <w:highlight w:val="none"/>
          <w:lang w:val="en-US" w:eastAsia="zh-CN"/>
        </w:rPr>
      </w:pPr>
      <w:bookmarkStart w:id="8" w:name="_Toc14172"/>
      <w:r>
        <w:rPr>
          <w:rFonts w:hint="eastAsia" w:ascii="仿宋" w:hAnsi="仿宋" w:eastAsia="仿宋" w:cs="仿宋"/>
          <w:color w:val="auto"/>
          <w:sz w:val="28"/>
          <w:szCs w:val="28"/>
          <w:highlight w:val="none"/>
          <w:lang w:val="en-US" w:eastAsia="zh-CN"/>
        </w:rPr>
        <w:t>项目名称：困难群众救助市级补助资金</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项目单位：湛江市民政局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项目评价金额：4000万元</w:t>
      </w:r>
      <w:bookmarkEnd w:id="8"/>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9" w:name="_Toc17615"/>
      <w:bookmarkStart w:id="10" w:name="_Toc17257"/>
      <w:r>
        <w:rPr>
          <w:rFonts w:hint="eastAsia" w:ascii="仿宋" w:hAnsi="仿宋" w:eastAsia="仿宋" w:cs="仿宋"/>
          <w:color w:val="auto"/>
          <w:sz w:val="28"/>
          <w:szCs w:val="28"/>
          <w:highlight w:val="none"/>
          <w:lang w:eastAsia="zh-CN"/>
        </w:rPr>
        <w:t>（二）</w:t>
      </w:r>
      <w:bookmarkEnd w:id="9"/>
      <w:r>
        <w:rPr>
          <w:rFonts w:hint="eastAsia" w:ascii="仿宋" w:hAnsi="仿宋" w:eastAsia="仿宋" w:cs="仿宋"/>
          <w:color w:val="auto"/>
          <w:sz w:val="28"/>
          <w:szCs w:val="28"/>
          <w:highlight w:val="none"/>
          <w:lang w:eastAsia="zh-CN"/>
        </w:rPr>
        <w:t>项目立项依据</w:t>
      </w:r>
      <w:bookmarkEnd w:id="10"/>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根据《广东省财政厅 广东省民政厅&lt;广东省困难群众基本生活救助补助资金管理办法&gt;等通知》(粤财社〔2016〕155号)、《广东省最低生活保障制度实施办法》(粤府令262号)文件要求，为符合条件的城乡低保及特困人员发放补助。</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1" w:name="_Toc13952"/>
      <w:bookmarkStart w:id="12" w:name="_Toc7652"/>
      <w:bookmarkStart w:id="13" w:name="_Toc1156"/>
      <w:r>
        <w:rPr>
          <w:rFonts w:hint="eastAsia" w:ascii="仿宋" w:hAnsi="仿宋" w:eastAsia="仿宋" w:cs="仿宋"/>
          <w:color w:val="auto"/>
          <w:sz w:val="28"/>
          <w:szCs w:val="28"/>
          <w:highlight w:val="none"/>
          <w:lang w:eastAsia="zh-CN"/>
        </w:rPr>
        <w:t>（三）</w:t>
      </w:r>
      <w:bookmarkEnd w:id="11"/>
      <w:bookmarkEnd w:id="12"/>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绩效目标</w:t>
      </w:r>
      <w:bookmarkEnd w:id="13"/>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default" w:ascii="仿宋" w:hAnsi="仿宋" w:eastAsia="仿宋" w:cs="仿宋"/>
          <w:color w:val="auto"/>
          <w:sz w:val="28"/>
          <w:szCs w:val="28"/>
          <w:highlight w:val="none"/>
          <w:lang w:val="en-US" w:eastAsia="zh-CN"/>
        </w:rPr>
      </w:pPr>
      <w:bookmarkStart w:id="14" w:name="_Toc16787"/>
      <w:bookmarkStart w:id="15" w:name="_Toc3963"/>
      <w:r>
        <w:rPr>
          <w:rFonts w:hint="eastAsia" w:ascii="仿宋" w:hAnsi="仿宋" w:eastAsia="仿宋" w:cs="仿宋"/>
          <w:color w:val="auto"/>
          <w:sz w:val="28"/>
          <w:szCs w:val="28"/>
          <w:highlight w:val="none"/>
          <w:lang w:val="en-US" w:eastAsia="zh-CN"/>
        </w:rPr>
        <w:t>2022年底前按时按标准发放补助，涉及城镇低保人数约1.5万人，农村低人数约22万人，特困供养人员人数约3.1万人，特困供养人员全自理人数约2.7万人。</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6" w:name="_Toc26798"/>
      <w:r>
        <w:rPr>
          <w:rFonts w:hint="eastAsia" w:ascii="仿宋" w:hAnsi="仿宋" w:eastAsia="仿宋" w:cs="仿宋"/>
          <w:color w:val="auto"/>
          <w:sz w:val="28"/>
          <w:szCs w:val="28"/>
          <w:highlight w:val="none"/>
          <w:lang w:val="en-US" w:eastAsia="zh-CN"/>
        </w:rPr>
        <w:t>（四）</w:t>
      </w:r>
      <w:bookmarkEnd w:id="14"/>
      <w:bookmarkEnd w:id="15"/>
      <w:r>
        <w:rPr>
          <w:rFonts w:hint="eastAsia" w:ascii="仿宋" w:hAnsi="仿宋" w:eastAsia="仿宋" w:cs="仿宋"/>
          <w:color w:val="auto"/>
          <w:sz w:val="28"/>
          <w:szCs w:val="28"/>
          <w:highlight w:val="none"/>
          <w:lang w:val="en-US" w:eastAsia="zh-CN"/>
        </w:rPr>
        <w:t>项目建设内容</w:t>
      </w:r>
      <w:bookmarkEnd w:id="16"/>
    </w:p>
    <w:p>
      <w:pPr>
        <w:keepNext w:val="0"/>
        <w:keepLines w:val="0"/>
        <w:pageBreakBefore w:val="0"/>
        <w:kinsoku/>
        <w:wordWrap/>
        <w:overflowPunct/>
        <w:topLinePunct w:val="0"/>
        <w:autoSpaceDE/>
        <w:autoSpaceDN/>
        <w:bidi w:val="0"/>
        <w:adjustRightInd/>
        <w:snapToGrid w:val="0"/>
        <w:spacing w:line="560" w:lineRule="exact"/>
        <w:ind w:firstLine="570"/>
        <w:jc w:val="both"/>
        <w:textAlignment w:val="auto"/>
        <w:rPr>
          <w:rFonts w:hint="default" w:ascii="仿宋" w:hAnsi="仿宋" w:eastAsia="仿宋" w:cs="仿宋"/>
          <w:color w:val="auto"/>
          <w:sz w:val="28"/>
          <w:szCs w:val="28"/>
          <w:highlight w:val="none"/>
          <w:lang w:val="en-US" w:eastAsia="zh-CN"/>
        </w:rPr>
      </w:pPr>
      <w:bookmarkStart w:id="17" w:name="_Toc6754"/>
      <w:bookmarkStart w:id="18" w:name="_Toc22929"/>
      <w:r>
        <w:rPr>
          <w:rFonts w:hint="eastAsia" w:ascii="仿宋" w:hAnsi="仿宋" w:eastAsia="仿宋" w:cs="仿宋"/>
          <w:color w:val="auto"/>
          <w:sz w:val="28"/>
          <w:szCs w:val="28"/>
          <w:highlight w:val="none"/>
          <w:lang w:val="en-US" w:eastAsia="zh-CN"/>
        </w:rPr>
        <w:t>根据《广东省民政厅关于印发2022年全省城乡低保最低标准的通知》(粤民发〔2022〕44号)、《广东省民政厅关于印发2022年特困人员基本生活供养标准的通知》(粤民函〔2022〕152 号)文件要求，为符合条件的城乡低保及特困人员发放补助。</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9" w:name="_Toc25132"/>
      <w:r>
        <w:rPr>
          <w:rFonts w:hint="eastAsia" w:ascii="仿宋" w:hAnsi="仿宋" w:eastAsia="仿宋" w:cs="仿宋"/>
          <w:b/>
          <w:bCs/>
          <w:color w:val="auto"/>
          <w:sz w:val="28"/>
          <w:szCs w:val="28"/>
          <w:highlight w:val="none"/>
        </w:rPr>
        <w:t>二</w:t>
      </w:r>
      <w:bookmarkEnd w:id="17"/>
      <w:r>
        <w:rPr>
          <w:rFonts w:hint="eastAsia" w:ascii="仿宋" w:hAnsi="仿宋" w:eastAsia="仿宋" w:cs="仿宋"/>
          <w:b/>
          <w:bCs/>
          <w:color w:val="auto"/>
          <w:sz w:val="28"/>
          <w:szCs w:val="28"/>
          <w:highlight w:val="none"/>
          <w:lang w:eastAsia="zh-CN"/>
        </w:rPr>
        <w:t>、核查工作开展情况</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0" w:name="_Toc28273"/>
      <w:bookmarkStart w:id="21" w:name="_Toc10065"/>
      <w:bookmarkStart w:id="22" w:name="_Toc7852"/>
      <w:bookmarkStart w:id="23" w:name="_Toc1218"/>
      <w:r>
        <w:rPr>
          <w:rFonts w:hint="eastAsia" w:ascii="仿宋" w:hAnsi="仿宋" w:eastAsia="仿宋" w:cs="仿宋"/>
          <w:color w:val="auto"/>
          <w:sz w:val="28"/>
          <w:szCs w:val="28"/>
          <w:highlight w:val="none"/>
        </w:rPr>
        <w:t>（一）评价目的</w:t>
      </w:r>
      <w:bookmarkEnd w:id="20"/>
      <w:bookmarkEnd w:id="21"/>
      <w:bookmarkEnd w:id="2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规范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合理的评价方法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评价指标和评分标准，对财政资金的分配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使用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产出及效果等进行客观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公正的测量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分析和评判，评价绩效水平，发现存在问题，并分析问题成因，提出进一步加强资金管理的意见建议。</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4" w:name="_Toc20897"/>
      <w:bookmarkStart w:id="25" w:name="_Toc15857"/>
      <w:bookmarkStart w:id="26" w:name="_Toc24406"/>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评价过程</w:t>
      </w:r>
      <w:bookmarkEnd w:id="24"/>
      <w:bookmarkEnd w:id="25"/>
      <w:bookmarkEnd w:id="26"/>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组织与实施。</w:t>
      </w:r>
      <w:r>
        <w:rPr>
          <w:rFonts w:hint="eastAsia" w:ascii="仿宋" w:hAnsi="仿宋" w:eastAsia="仿宋" w:cs="仿宋"/>
          <w:color w:val="auto"/>
          <w:sz w:val="28"/>
          <w:szCs w:val="28"/>
          <w:highlight w:val="none"/>
          <w:lang w:val="en-US" w:eastAsia="zh-CN"/>
        </w:rPr>
        <w:t>根据</w:t>
      </w:r>
      <w:r>
        <w:rPr>
          <w:rFonts w:hint="eastAsia" w:ascii="仿宋" w:hAnsi="仿宋" w:eastAsia="仿宋" w:cs="仿宋"/>
          <w:color w:val="auto"/>
          <w:kern w:val="2"/>
          <w:sz w:val="28"/>
          <w:szCs w:val="28"/>
          <w:highlight w:val="none"/>
          <w:lang w:val="en-US" w:eastAsia="zh-CN"/>
        </w:rPr>
        <w:t>湛江市财政局</w:t>
      </w:r>
      <w:r>
        <w:rPr>
          <w:rFonts w:hint="eastAsia" w:ascii="仿宋" w:hAnsi="仿宋" w:eastAsia="仿宋" w:cs="仿宋"/>
          <w:color w:val="auto"/>
          <w:kern w:val="2"/>
          <w:sz w:val="28"/>
          <w:szCs w:val="28"/>
          <w:highlight w:val="none"/>
          <w:lang w:eastAsia="zh-CN"/>
        </w:rPr>
        <w:t>《湛江财政局关于开展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rPr>
        <w:t>，明确了</w:t>
      </w:r>
      <w:r>
        <w:rPr>
          <w:rFonts w:hint="eastAsia" w:ascii="仿宋" w:hAnsi="仿宋" w:eastAsia="仿宋" w:cs="仿宋"/>
          <w:color w:val="auto"/>
          <w:sz w:val="28"/>
          <w:szCs w:val="28"/>
          <w:highlight w:val="none"/>
          <w:lang w:eastAsia="zh-CN"/>
        </w:rPr>
        <w:t>本次</w:t>
      </w:r>
      <w:r>
        <w:rPr>
          <w:rFonts w:hint="eastAsia" w:ascii="仿宋" w:hAnsi="仿宋" w:eastAsia="仿宋" w:cs="仿宋"/>
          <w:color w:val="auto"/>
          <w:sz w:val="28"/>
          <w:szCs w:val="28"/>
          <w:highlight w:val="none"/>
        </w:rPr>
        <w:t>评价工作的目的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范围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内容和组织实施工</w:t>
      </w:r>
      <w:r>
        <w:rPr>
          <w:rFonts w:hint="eastAsia" w:ascii="仿宋" w:hAnsi="仿宋" w:eastAsia="仿宋" w:cs="仿宋"/>
          <w:color w:val="auto"/>
          <w:sz w:val="28"/>
          <w:szCs w:val="28"/>
          <w:highlight w:val="none"/>
          <w:lang w:val="en-US" w:eastAsia="zh-CN"/>
        </w:rPr>
        <w:t>作。2023年9月，受湛江市财政局委托，本事务所高度重视，合理配备专业力量，组织绩效评价工作组，制定评价工作实施方案，以认真负责的态度，保证本次绩效评价工作的有序展开。</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bookmarkStart w:id="27" w:name="_Toc3007"/>
      <w:bookmarkStart w:id="28" w:name="_Toc22988"/>
      <w:bookmarkStart w:id="29" w:name="_Toc19029"/>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核实与勘验。绩效评价工作专家小组收集评价基础资料并整理分析，作为核查参考，科学确定核查方案</w:t>
      </w:r>
      <w:r>
        <w:rPr>
          <w:rFonts w:hint="eastAsia" w:ascii="仿宋" w:hAnsi="仿宋" w:eastAsia="仿宋" w:cs="仿宋"/>
          <w:color w:val="auto"/>
          <w:sz w:val="28"/>
          <w:szCs w:val="28"/>
          <w:highlight w:val="none"/>
        </w:rPr>
        <w:t>，形成评价意见。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形成评价报告。依据评价结论，并参考对评价单位递交自评材料的审核结果，加强意见沟通，对财政资金支出情况进行全面分析与综合评价，形成本次绩效评价</w:t>
      </w:r>
      <w:r>
        <w:rPr>
          <w:rFonts w:hint="eastAsia" w:ascii="仿宋" w:hAnsi="仿宋" w:eastAsia="仿宋" w:cs="仿宋"/>
          <w:color w:val="auto"/>
          <w:sz w:val="28"/>
          <w:szCs w:val="28"/>
          <w:highlight w:val="none"/>
          <w:lang w:eastAsia="zh-CN"/>
        </w:rPr>
        <w:t>核查</w:t>
      </w:r>
      <w:r>
        <w:rPr>
          <w:rFonts w:hint="eastAsia" w:ascii="仿宋" w:hAnsi="仿宋" w:eastAsia="仿宋" w:cs="仿宋"/>
          <w:color w:val="auto"/>
          <w:sz w:val="28"/>
          <w:szCs w:val="28"/>
          <w:highlight w:val="none"/>
        </w:rPr>
        <w:t>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（三）评价原则和方法</w:t>
      </w:r>
      <w:bookmarkEnd w:id="27"/>
      <w:bookmarkEnd w:id="28"/>
      <w:bookmarkEnd w:id="2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kern w:val="2"/>
          <w:sz w:val="28"/>
          <w:szCs w:val="28"/>
          <w:highlight w:val="none"/>
          <w:lang w:val="en-US" w:eastAsia="zh-CN"/>
        </w:rPr>
        <w:t>湛江市财政局</w:t>
      </w:r>
      <w:r>
        <w:rPr>
          <w:rFonts w:hint="eastAsia" w:ascii="仿宋" w:hAnsi="仿宋" w:eastAsia="仿宋" w:cs="仿宋"/>
          <w:color w:val="auto"/>
          <w:kern w:val="2"/>
          <w:sz w:val="28"/>
          <w:szCs w:val="28"/>
          <w:highlight w:val="none"/>
          <w:lang w:eastAsia="zh-CN"/>
        </w:rPr>
        <w:t>《湛江财政局关于开展</w:t>
      </w:r>
      <w:r>
        <w:rPr>
          <w:rFonts w:hint="eastAsia" w:ascii="仿宋" w:hAnsi="仿宋" w:eastAsia="仿宋" w:cs="仿宋"/>
          <w:color w:val="auto"/>
          <w:kern w:val="2"/>
          <w:sz w:val="28"/>
          <w:szCs w:val="28"/>
          <w:highlight w:val="none"/>
          <w:lang w:val="en-US" w:eastAsia="zh-CN"/>
        </w:rPr>
        <w:t>2023年市级财政资金绩效自评工作的通知</w:t>
      </w:r>
      <w:r>
        <w:rPr>
          <w:rFonts w:hint="eastAsia" w:ascii="仿宋" w:hAnsi="仿宋" w:eastAsia="仿宋" w:cs="仿宋"/>
          <w:color w:val="auto"/>
          <w:kern w:val="2"/>
          <w:sz w:val="28"/>
          <w:szCs w:val="28"/>
          <w:highlight w:val="none"/>
          <w:lang w:eastAsia="zh-CN"/>
        </w:rPr>
        <w:t>》（湛财绩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lang w:val="en-US" w:eastAsia="zh-CN"/>
        </w:rPr>
        <w:t>的文件要求</w:t>
      </w:r>
      <w:r>
        <w:rPr>
          <w:rFonts w:hint="eastAsia" w:ascii="仿宋" w:hAnsi="仿宋" w:eastAsia="仿宋" w:cs="仿宋"/>
          <w:color w:val="auto"/>
          <w:sz w:val="28"/>
          <w:szCs w:val="28"/>
          <w:highlight w:val="none"/>
        </w:rPr>
        <w:t>，结合本</w:t>
      </w:r>
      <w:r>
        <w:rPr>
          <w:rFonts w:hint="eastAsia" w:ascii="仿宋" w:hAnsi="仿宋" w:eastAsia="仿宋" w:cs="仿宋"/>
          <w:color w:val="auto"/>
          <w:sz w:val="28"/>
          <w:szCs w:val="28"/>
          <w:highlight w:val="none"/>
          <w:lang w:eastAsia="zh-CN"/>
        </w:rPr>
        <w:t>评价项目</w:t>
      </w:r>
      <w:r>
        <w:rPr>
          <w:rFonts w:hint="eastAsia" w:ascii="仿宋" w:hAnsi="仿宋" w:eastAsia="仿宋" w:cs="仿宋"/>
          <w:color w:val="auto"/>
          <w:sz w:val="28"/>
          <w:szCs w:val="28"/>
          <w:highlight w:val="none"/>
        </w:rPr>
        <w:t>资金支出的相关内容，突出预算支出绩效评价的特点</w:t>
      </w:r>
      <w:r>
        <w:rPr>
          <w:rFonts w:hint="eastAsia" w:ascii="仿宋" w:hAnsi="仿宋" w:eastAsia="仿宋" w:cs="仿宋"/>
          <w:color w:val="auto"/>
          <w:sz w:val="28"/>
          <w:szCs w:val="28"/>
          <w:highlight w:val="none"/>
          <w:lang w:eastAsia="zh-CN"/>
        </w:rPr>
        <w:t>，以资金支出的经济、社会效益和公众满意度作为衡量主管部门资金管理绩效的重要依据，</w:t>
      </w:r>
      <w:r>
        <w:rPr>
          <w:rFonts w:hint="eastAsia" w:ascii="仿宋" w:hAnsi="仿宋" w:eastAsia="仿宋" w:cs="仿宋"/>
          <w:color w:val="auto"/>
          <w:sz w:val="28"/>
          <w:szCs w:val="28"/>
          <w:highlight w:val="none"/>
        </w:rPr>
        <w:t>采取了目标预定与实施效果</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比较的评价方法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评价包括了定量指标分析和定性指标分析。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0"/>
        <w:rPr>
          <w:rFonts w:hint="eastAsia" w:ascii="仿宋" w:hAnsi="仿宋" w:eastAsia="仿宋" w:cs="仿宋"/>
          <w:color w:val="auto"/>
          <w:sz w:val="28"/>
          <w:szCs w:val="28"/>
          <w:highlight w:val="none"/>
          <w:lang w:eastAsia="zh-CN"/>
        </w:rPr>
      </w:pPr>
      <w:bookmarkStart w:id="30" w:name="_Toc2217"/>
      <w:r>
        <w:rPr>
          <w:rFonts w:hint="eastAsia" w:ascii="仿宋" w:hAnsi="仿宋" w:eastAsia="仿宋" w:cs="仿宋"/>
          <w:color w:val="auto"/>
          <w:sz w:val="28"/>
          <w:szCs w:val="28"/>
          <w:highlight w:val="none"/>
          <w:lang w:eastAsia="zh-CN"/>
        </w:rPr>
        <w:t>项目评价基准日为</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lang w:eastAsia="zh-CN"/>
        </w:rPr>
        <w:t>日。</w:t>
      </w:r>
      <w:bookmarkEnd w:id="30"/>
      <w:bookmarkStart w:id="31" w:name="bookmark68"/>
      <w:bookmarkEnd w:id="31"/>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32" w:name="_Toc19758"/>
      <w:r>
        <w:rPr>
          <w:rFonts w:hint="eastAsia" w:ascii="仿宋" w:hAnsi="仿宋" w:eastAsia="仿宋" w:cs="仿宋"/>
          <w:b/>
          <w:bCs/>
          <w:color w:val="auto"/>
          <w:sz w:val="28"/>
          <w:szCs w:val="28"/>
          <w:highlight w:val="none"/>
          <w:lang w:eastAsia="zh-CN"/>
        </w:rPr>
        <w:t>三、项目实施情况</w:t>
      </w:r>
      <w:bookmarkEnd w:id="3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33" w:name="_Toc18632"/>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项目实施情况</w:t>
      </w:r>
      <w:bookmarkEnd w:id="3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2022年度共下达市级补助资金4000万元，实际支出4000万元。2022年末全市共有城镇低保对象13679人、农村低保对象175384人、城乡特困人员25796人，对低保人群应保尽保。实施临时救助1.76万人次等</w:t>
      </w:r>
      <w:r>
        <w:rPr>
          <w:rFonts w:hint="eastAsia" w:ascii="仿宋" w:hAnsi="仿宋" w:eastAsia="仿宋" w:cs="仿宋"/>
          <w:color w:val="auto"/>
          <w:sz w:val="28"/>
          <w:szCs w:val="28"/>
          <w:highlight w:val="none"/>
          <w:lang w:eastAsia="zh-CN"/>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34" w:name="_Toc18859"/>
      <w:r>
        <w:rPr>
          <w:rFonts w:hint="eastAsia" w:ascii="仿宋" w:hAnsi="仿宋" w:eastAsia="仿宋" w:cs="仿宋"/>
          <w:color w:val="auto"/>
          <w:sz w:val="28"/>
          <w:szCs w:val="28"/>
          <w:highlight w:val="none"/>
          <w:lang w:eastAsia="zh-CN"/>
        </w:rPr>
        <w:t>项目资金情况</w:t>
      </w:r>
      <w:bookmarkEnd w:id="3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1.资金来源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资金来源为市级补助资金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湛财社〔2022〕14</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湛财社〔2022〕40</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湛财社〔2022〕106</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湛财社〔2022〕141</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湛财社〔2022〕169</w:t>
      </w:r>
      <w:r>
        <w:rPr>
          <w:rFonts w:hint="eastAsia" w:ascii="仿宋" w:hAnsi="仿宋" w:eastAsia="仿宋" w:cs="仿宋"/>
          <w:color w:val="auto"/>
          <w:sz w:val="28"/>
          <w:szCs w:val="28"/>
          <w:highlight w:val="none"/>
        </w:rPr>
        <w:t>号）。</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2.资金到位情况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2022年计划安排资金4000万元,实际到位资金4000万元。</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资金使用情况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截止评价基准日，实际已支付的202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年财政资金共计</w:t>
      </w:r>
      <w:r>
        <w:rPr>
          <w:rFonts w:hint="eastAsia" w:ascii="仿宋" w:hAnsi="仿宋" w:eastAsia="仿宋" w:cs="仿宋"/>
          <w:color w:val="auto"/>
          <w:sz w:val="28"/>
          <w:szCs w:val="28"/>
          <w:highlight w:val="none"/>
          <w:lang w:val="en-US" w:eastAsia="zh-CN"/>
        </w:rPr>
        <w:t>4000</w:t>
      </w:r>
      <w:r>
        <w:rPr>
          <w:rFonts w:hint="eastAsia" w:ascii="仿宋" w:hAnsi="仿宋" w:eastAsia="仿宋" w:cs="仿宋"/>
          <w:color w:val="auto"/>
          <w:sz w:val="28"/>
          <w:szCs w:val="28"/>
          <w:highlight w:val="none"/>
          <w:lang w:eastAsia="zh-CN"/>
        </w:rPr>
        <w:t>万元，资金使用率</w:t>
      </w:r>
      <w:r>
        <w:rPr>
          <w:rFonts w:hint="eastAsia" w:ascii="仿宋" w:hAnsi="仿宋" w:eastAsia="仿宋" w:cs="仿宋"/>
          <w:color w:val="auto"/>
          <w:sz w:val="28"/>
          <w:szCs w:val="28"/>
          <w:highlight w:val="none"/>
          <w:lang w:val="en-US" w:eastAsia="zh-CN"/>
        </w:rPr>
        <w:t>100</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35" w:name="_Toc15964"/>
      <w:r>
        <w:rPr>
          <w:rFonts w:hint="eastAsia" w:ascii="仿宋" w:hAnsi="仿宋" w:eastAsia="仿宋" w:cs="仿宋"/>
          <w:b/>
          <w:bCs/>
          <w:color w:val="auto"/>
          <w:sz w:val="28"/>
          <w:szCs w:val="28"/>
          <w:highlight w:val="none"/>
          <w:lang w:eastAsia="zh-CN"/>
        </w:rPr>
        <w:t>四、核查结论</w:t>
      </w:r>
      <w:bookmarkEnd w:id="23"/>
      <w:bookmarkEnd w:id="3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bookmarkStart w:id="36" w:name="_Toc3606"/>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表1 绩效评价结果等级划分标准</w:t>
      </w:r>
    </w:p>
    <w:tbl>
      <w:tblPr>
        <w:tblStyle w:val="13"/>
        <w:tblW w:w="4889" w:type="pct"/>
        <w:jc w:val="center"/>
        <w:tblLayout w:type="autofit"/>
        <w:tblCellMar>
          <w:top w:w="0" w:type="dxa"/>
          <w:left w:w="10" w:type="dxa"/>
          <w:bottom w:w="0" w:type="dxa"/>
          <w:right w:w="10" w:type="dxa"/>
        </w:tblCellMar>
      </w:tblPr>
      <w:tblGrid>
        <w:gridCol w:w="1074"/>
        <w:gridCol w:w="3859"/>
        <w:gridCol w:w="3402"/>
      </w:tblGrid>
      <w:tr>
        <w:tblPrEx>
          <w:tblCellMar>
            <w:top w:w="0" w:type="dxa"/>
            <w:left w:w="10" w:type="dxa"/>
            <w:bottom w:w="0" w:type="dxa"/>
            <w:right w:w="10" w:type="dxa"/>
          </w:tblCellMar>
        </w:tblPrEx>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blPrEx>
          <w:tblCellMar>
            <w:top w:w="0" w:type="dxa"/>
            <w:left w:w="10" w:type="dxa"/>
            <w:bottom w:w="0" w:type="dxa"/>
            <w:right w:w="10" w:type="dxa"/>
          </w:tblCellMar>
        </w:tblPrEx>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blPrEx>
          <w:tblCellMar>
            <w:top w:w="0" w:type="dxa"/>
            <w:left w:w="10" w:type="dxa"/>
            <w:bottom w:w="0" w:type="dxa"/>
            <w:right w:w="10" w:type="dxa"/>
          </w:tblCellMar>
        </w:tblPrEx>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40"/>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依据既定的指标体系和评分标准，结合湛江市民政局提交的自评材料及核验的评价结果，2022年项目支出绩效核查得分为88.75分，等级为良。详见表2：</w:t>
      </w:r>
      <w:bookmarkStart w:id="56" w:name="_GoBack"/>
      <w:bookmarkEnd w:id="56"/>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37" w:name="bookmark54"/>
      <w:bookmarkStart w:id="38" w:name="bookmark56"/>
      <w:bookmarkStart w:id="39" w:name="_Toc4575"/>
      <w:bookmarkStart w:id="40" w:name="bookmark55"/>
      <w:bookmarkStart w:id="41" w:name="_Toc1778"/>
      <w:r>
        <w:rPr>
          <w:rFonts w:hint="eastAsia" w:ascii="仿宋" w:hAnsi="仿宋" w:eastAsia="仿宋" w:cs="仿宋"/>
          <w:b/>
          <w:bCs/>
          <w:color w:val="auto"/>
          <w:sz w:val="28"/>
          <w:szCs w:val="28"/>
          <w:highlight w:val="none"/>
          <w:lang w:val="en-US" w:eastAsia="zh-CN"/>
        </w:rPr>
        <w:t>表2 项目支出</w:t>
      </w:r>
      <w:r>
        <w:rPr>
          <w:rFonts w:hint="eastAsia" w:ascii="仿宋" w:hAnsi="仿宋" w:eastAsia="仿宋" w:cs="仿宋"/>
          <w:b/>
          <w:bCs/>
          <w:color w:val="auto"/>
          <w:sz w:val="28"/>
          <w:szCs w:val="28"/>
          <w:highlight w:val="none"/>
        </w:rPr>
        <w:t>绩效</w:t>
      </w:r>
      <w:r>
        <w:rPr>
          <w:rFonts w:hint="eastAsia" w:ascii="仿宋" w:hAnsi="仿宋" w:eastAsia="仿宋" w:cs="仿宋"/>
          <w:b/>
          <w:bCs/>
          <w:color w:val="auto"/>
          <w:sz w:val="28"/>
          <w:szCs w:val="28"/>
          <w:highlight w:val="none"/>
          <w:lang w:eastAsia="zh-CN"/>
        </w:rPr>
        <w:t>核查评分汇</w:t>
      </w:r>
      <w:r>
        <w:rPr>
          <w:rFonts w:hint="eastAsia" w:ascii="仿宋" w:hAnsi="仿宋" w:eastAsia="仿宋" w:cs="仿宋"/>
          <w:b/>
          <w:bCs/>
          <w:color w:val="auto"/>
          <w:sz w:val="28"/>
          <w:szCs w:val="28"/>
          <w:highlight w:val="none"/>
        </w:rPr>
        <w:t>总表</w:t>
      </w:r>
      <w:bookmarkEnd w:id="37"/>
      <w:bookmarkEnd w:id="38"/>
      <w:bookmarkEnd w:id="39"/>
      <w:bookmarkEnd w:id="40"/>
      <w:bookmarkEnd w:id="41"/>
    </w:p>
    <w:tbl>
      <w:tblPr>
        <w:tblStyle w:val="13"/>
        <w:tblW w:w="4997" w:type="pct"/>
        <w:jc w:val="center"/>
        <w:tblLayout w:type="autofit"/>
        <w:tblCellMar>
          <w:top w:w="0" w:type="dxa"/>
          <w:left w:w="10" w:type="dxa"/>
          <w:bottom w:w="0" w:type="dxa"/>
          <w:right w:w="10" w:type="dxa"/>
        </w:tblCellMar>
      </w:tblPr>
      <w:tblGrid>
        <w:gridCol w:w="2136"/>
        <w:gridCol w:w="2125"/>
        <w:gridCol w:w="2125"/>
        <w:gridCol w:w="2133"/>
      </w:tblGrid>
      <w:tr>
        <w:tblPrEx>
          <w:tblCellMar>
            <w:top w:w="0" w:type="dxa"/>
            <w:left w:w="10" w:type="dxa"/>
            <w:bottom w:w="0" w:type="dxa"/>
            <w:right w:w="10" w:type="dxa"/>
          </w:tblCellMar>
        </w:tblPrEx>
        <w:trPr>
          <w:trHeight w:val="475" w:hRule="exact"/>
          <w:tblHeader/>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指标分值</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评价得分</w:t>
            </w:r>
          </w:p>
        </w:tc>
        <w:tc>
          <w:tcPr>
            <w:tcW w:w="1251" w:type="pct"/>
            <w:tcBorders>
              <w:top w:val="single" w:color="auto" w:sz="4" w:space="0"/>
              <w:left w:val="single" w:color="auto" w:sz="4" w:space="0"/>
              <w:righ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lang w:eastAsia="zh-CN"/>
              </w:rPr>
              <w:t>得分率</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eastAsia="zh-CN"/>
              </w:rPr>
            </w:pPr>
            <w:r>
              <w:rPr>
                <w:rFonts w:hint="eastAsia" w:ascii="仿宋" w:hAnsi="仿宋" w:eastAsia="仿宋" w:cs="仿宋"/>
                <w:color w:val="000000"/>
                <w:spacing w:val="0"/>
                <w:w w:val="100"/>
                <w:position w:val="0"/>
                <w:sz w:val="24"/>
                <w:szCs w:val="24"/>
                <w:highlight w:val="none"/>
                <w:lang w:eastAsia="zh-CN"/>
              </w:rPr>
              <w:t>决策</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18</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16.5</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91.67%</w:t>
            </w:r>
          </w:p>
        </w:tc>
      </w:tr>
      <w:tr>
        <w:tblPrEx>
          <w:tblCellMar>
            <w:top w:w="0" w:type="dxa"/>
            <w:left w:w="10" w:type="dxa"/>
            <w:bottom w:w="0" w:type="dxa"/>
            <w:right w:w="10" w:type="dxa"/>
          </w:tblCellMar>
        </w:tblPrEx>
        <w:trPr>
          <w:trHeight w:val="461" w:hRule="exact"/>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color w:val="000000"/>
                <w:spacing w:val="0"/>
                <w:w w:val="100"/>
                <w:position w:val="0"/>
                <w:sz w:val="24"/>
                <w:szCs w:val="24"/>
                <w:highlight w:val="none"/>
                <w:lang w:eastAsia="zh-CN"/>
              </w:rPr>
              <w:t>过程</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22</w:t>
            </w:r>
          </w:p>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p>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21</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95.45%</w:t>
            </w:r>
          </w:p>
        </w:tc>
      </w:tr>
      <w:tr>
        <w:tblPrEx>
          <w:tblCellMar>
            <w:top w:w="0" w:type="dxa"/>
            <w:left w:w="10" w:type="dxa"/>
            <w:bottom w:w="0" w:type="dxa"/>
            <w:right w:w="10" w:type="dxa"/>
          </w:tblCellMar>
        </w:tblPrEx>
        <w:trPr>
          <w:trHeight w:val="456" w:hRule="exact"/>
          <w:jc w:val="center"/>
        </w:trPr>
        <w:tc>
          <w:tcPr>
            <w:tcW w:w="1253"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产出</w:t>
            </w:r>
          </w:p>
        </w:tc>
        <w:tc>
          <w:tcPr>
            <w:tcW w:w="1247" w:type="pct"/>
            <w:tcBorders>
              <w:top w:val="single" w:color="auto" w:sz="4" w:space="0"/>
              <w:left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30</w:t>
            </w:r>
          </w:p>
        </w:tc>
        <w:tc>
          <w:tcPr>
            <w:tcW w:w="2125"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2274"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83.33%</w:t>
            </w:r>
          </w:p>
        </w:tc>
      </w:tr>
      <w:tr>
        <w:tblPrEx>
          <w:tblCellMar>
            <w:top w:w="0" w:type="dxa"/>
            <w:left w:w="10" w:type="dxa"/>
            <w:bottom w:w="0" w:type="dxa"/>
            <w:right w:w="10" w:type="dxa"/>
          </w:tblCellMar>
        </w:tblPrEx>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效益</w:t>
            </w:r>
          </w:p>
        </w:tc>
        <w:tc>
          <w:tcPr>
            <w:tcW w:w="1247"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26.25</w:t>
            </w:r>
          </w:p>
        </w:tc>
        <w:tc>
          <w:tcPr>
            <w:tcW w:w="2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87.50%</w:t>
            </w:r>
          </w:p>
        </w:tc>
      </w:tr>
      <w:tr>
        <w:tblPrEx>
          <w:tblCellMar>
            <w:top w:w="0" w:type="dxa"/>
            <w:left w:w="10" w:type="dxa"/>
            <w:bottom w:w="0" w:type="dxa"/>
            <w:right w:w="10" w:type="dxa"/>
          </w:tblCellMar>
        </w:tblPrEx>
        <w:trPr>
          <w:trHeight w:val="475" w:hRule="exact"/>
          <w:jc w:val="center"/>
        </w:trPr>
        <w:tc>
          <w:tcPr>
            <w:tcW w:w="1253"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评价总得分</w:t>
            </w:r>
          </w:p>
        </w:tc>
        <w:tc>
          <w:tcPr>
            <w:tcW w:w="1247" w:type="pct"/>
            <w:tcBorders>
              <w:top w:val="single" w:color="auto" w:sz="4" w:space="0"/>
              <w:left w:val="single" w:color="auto" w:sz="4" w:space="0"/>
              <w:bottom w:val="single" w:color="auto" w:sz="4" w:space="0"/>
            </w:tcBorders>
            <w:shd w:val="clear" w:color="auto" w:fill="FFFFFF"/>
            <w:vAlign w:val="center"/>
          </w:tcPr>
          <w:p>
            <w:pPr>
              <w:pStyle w:val="4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100</w:t>
            </w:r>
          </w:p>
        </w:tc>
        <w:tc>
          <w:tcPr>
            <w:tcW w:w="212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88.75</w:t>
            </w:r>
          </w:p>
        </w:tc>
        <w:tc>
          <w:tcPr>
            <w:tcW w:w="2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88.75%</w:t>
            </w:r>
          </w:p>
        </w:tc>
      </w:tr>
      <w:bookmarkEnd w:id="36"/>
    </w:tbl>
    <w:p>
      <w:pPr>
        <w:pStyle w:val="11"/>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42" w:name="_Toc9575"/>
      <w:bookmarkStart w:id="43" w:name="_Toc3612"/>
      <w:bookmarkStart w:id="44" w:name="_Toc13877"/>
      <w:r>
        <w:rPr>
          <w:rFonts w:hint="eastAsia" w:ascii="仿宋" w:hAnsi="仿宋" w:eastAsia="仿宋" w:cs="仿宋"/>
          <w:b/>
          <w:color w:val="auto"/>
          <w:kern w:val="2"/>
          <w:sz w:val="28"/>
          <w:szCs w:val="28"/>
          <w:highlight w:val="none"/>
          <w:lang w:eastAsia="zh-CN"/>
        </w:rPr>
        <w:t>五、</w:t>
      </w:r>
      <w:r>
        <w:rPr>
          <w:rFonts w:hint="eastAsia" w:ascii="仿宋" w:hAnsi="仿宋" w:eastAsia="仿宋" w:cs="仿宋"/>
          <w:b/>
          <w:color w:val="auto"/>
          <w:kern w:val="2"/>
          <w:sz w:val="28"/>
          <w:szCs w:val="28"/>
          <w:highlight w:val="none"/>
        </w:rPr>
        <w:t>存在问题</w:t>
      </w:r>
      <w:bookmarkEnd w:id="42"/>
      <w:r>
        <w:rPr>
          <w:rFonts w:hint="eastAsia" w:ascii="仿宋" w:hAnsi="仿宋" w:eastAsia="仿宋" w:cs="仿宋"/>
          <w:b/>
          <w:color w:val="auto"/>
          <w:kern w:val="2"/>
          <w:sz w:val="28"/>
          <w:szCs w:val="28"/>
          <w:highlight w:val="none"/>
          <w:lang w:eastAsia="zh-CN"/>
        </w:rPr>
        <w:t>及相关建议</w:t>
      </w:r>
      <w:bookmarkEnd w:id="43"/>
      <w:bookmarkEnd w:id="44"/>
      <w:bookmarkStart w:id="45" w:name="一"/>
      <w:bookmarkEnd w:id="45"/>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46" w:name="_Toc11913"/>
      <w:bookmarkStart w:id="47" w:name="_Toc1745"/>
      <w:bookmarkStart w:id="48" w:name="_Toc18552"/>
      <w:r>
        <w:rPr>
          <w:rFonts w:hint="eastAsia" w:ascii="仿宋" w:hAnsi="仿宋" w:eastAsia="仿宋" w:cs="仿宋"/>
          <w:b w:val="0"/>
          <w:bCs w:val="0"/>
          <w:color w:val="auto"/>
          <w:kern w:val="2"/>
          <w:sz w:val="28"/>
          <w:szCs w:val="28"/>
          <w:highlight w:val="none"/>
        </w:rPr>
        <w:t>（一）存在问题</w:t>
      </w:r>
      <w:bookmarkEnd w:id="46"/>
      <w:bookmarkEnd w:id="47"/>
      <w:bookmarkEnd w:id="48"/>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49" w:name="_Toc18582"/>
      <w:r>
        <w:rPr>
          <w:rFonts w:hint="eastAsia" w:ascii="仿宋" w:hAnsi="仿宋" w:eastAsia="仿宋" w:cs="仿宋"/>
          <w:b w:val="0"/>
          <w:bCs w:val="0"/>
          <w:color w:val="auto"/>
          <w:kern w:val="2"/>
          <w:sz w:val="28"/>
          <w:szCs w:val="28"/>
          <w:highlight w:val="none"/>
          <w:lang w:val="en-US" w:eastAsia="zh-CN"/>
        </w:rPr>
        <w:t>1.</w:t>
      </w:r>
      <w:bookmarkEnd w:id="49"/>
      <w:r>
        <w:rPr>
          <w:rFonts w:hint="eastAsia" w:ascii="仿宋" w:hAnsi="仿宋" w:eastAsia="仿宋" w:cs="仿宋"/>
          <w:b w:val="0"/>
          <w:bCs w:val="0"/>
          <w:color w:val="auto"/>
          <w:kern w:val="2"/>
          <w:sz w:val="28"/>
          <w:szCs w:val="28"/>
          <w:highlight w:val="none"/>
          <w:lang w:val="en-US" w:eastAsia="zh-CN"/>
        </w:rPr>
        <w:t>需要关注农村低保对象条件的审核，及时更新低保人员信息，如雷州市2022年1-3月大规模清退不符合条件的农村低保对象，从2022年初73688人，下降至2022年3月51680人，清退人数22008人。</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2.对于雷州市救助资金支出缓慢的原因归纳为低保在保对象清退较多，存在未对项目预算进行科学预测，预算资金未从严从紧的情形。</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3.绩效自评不够严谨。自评材料质量方面，相关佐证材料不完整，自评评分表为100分，未严格对照评分标准进行自评。</w:t>
      </w:r>
    </w:p>
    <w:p>
      <w:pPr>
        <w:pStyle w:val="11"/>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eastAsia="zh-CN"/>
        </w:rPr>
      </w:pPr>
      <w:bookmarkStart w:id="50" w:name="_Toc22031"/>
      <w:bookmarkStart w:id="51" w:name="_Toc4560"/>
      <w:bookmarkStart w:id="52" w:name="_Toc24779"/>
      <w:r>
        <w:rPr>
          <w:rFonts w:hint="eastAsia" w:ascii="仿宋" w:hAnsi="仿宋" w:eastAsia="仿宋" w:cs="仿宋"/>
          <w:b w:val="0"/>
          <w:bCs/>
          <w:color w:val="auto"/>
          <w:kern w:val="2"/>
          <w:sz w:val="28"/>
          <w:szCs w:val="28"/>
          <w:highlight w:val="none"/>
        </w:rPr>
        <w:t>（二）</w:t>
      </w:r>
      <w:bookmarkEnd w:id="50"/>
      <w:r>
        <w:rPr>
          <w:rFonts w:hint="eastAsia" w:ascii="仿宋" w:hAnsi="仿宋" w:eastAsia="仿宋" w:cs="仿宋"/>
          <w:b w:val="0"/>
          <w:bCs/>
          <w:color w:val="auto"/>
          <w:kern w:val="2"/>
          <w:sz w:val="28"/>
          <w:szCs w:val="28"/>
          <w:highlight w:val="none"/>
          <w:lang w:val="en-US" w:eastAsia="zh-CN"/>
        </w:rPr>
        <w:t>相关建议</w:t>
      </w:r>
      <w:bookmarkEnd w:id="51"/>
      <w:bookmarkEnd w:id="52"/>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1.按照政策实施，切实保障困难群众基本生活，需要关注对政策保障对象条件的审核，人员信息更新，使项目实施真正落到实处。</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增强服务意识，加大民生福利政策的宣传，以确保符合条件的人群应享尽享。提高群众对社会救助政策的知晓率，让群众看得到、听得懂、易获取、能监督、好参与，不断提供基层政府公开的针对性、及时性和时效性。</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3.需要加强绩效自评工作</w:t>
      </w:r>
      <w:bookmarkStart w:id="53" w:name="_Toc1386"/>
      <w:bookmarkStart w:id="54" w:name="_Toc7568"/>
      <w:bookmarkStart w:id="55" w:name="_Toc121"/>
      <w:r>
        <w:rPr>
          <w:rFonts w:hint="eastAsia" w:ascii="仿宋" w:hAnsi="仿宋" w:eastAsia="仿宋" w:cs="仿宋"/>
          <w:color w:val="auto"/>
          <w:kern w:val="2"/>
          <w:sz w:val="28"/>
          <w:szCs w:val="28"/>
          <w:highlight w:val="none"/>
          <w:lang w:val="en-US" w:eastAsia="zh-CN"/>
        </w:rPr>
        <w:t>审核把关。对于报送的自评材料完整性、准确性加以关注。</w:t>
      </w: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bCs/>
          <w:kern w:val="2"/>
          <w:sz w:val="28"/>
          <w:szCs w:val="28"/>
          <w:highlight w:val="none"/>
        </w:rPr>
      </w:pPr>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附件：</w:t>
      </w:r>
      <w:bookmarkEnd w:id="53"/>
      <w:r>
        <w:rPr>
          <w:rFonts w:hint="eastAsia" w:ascii="仿宋" w:hAnsi="仿宋" w:eastAsia="仿宋" w:cs="仿宋"/>
          <w:b/>
          <w:bCs/>
          <w:kern w:val="2"/>
          <w:sz w:val="28"/>
          <w:szCs w:val="28"/>
          <w:highlight w:val="none"/>
          <w:lang w:eastAsia="zh-CN"/>
        </w:rPr>
        <w:t>湛江市民政局20</w:t>
      </w:r>
      <w:r>
        <w:rPr>
          <w:rFonts w:hint="eastAsia" w:ascii="仿宋" w:hAnsi="仿宋" w:eastAsia="仿宋" w:cs="仿宋"/>
          <w:b/>
          <w:bCs/>
          <w:kern w:val="2"/>
          <w:sz w:val="28"/>
          <w:szCs w:val="28"/>
          <w:highlight w:val="none"/>
          <w:lang w:val="en-US" w:eastAsia="zh-CN"/>
        </w:rPr>
        <w:t>22</w:t>
      </w:r>
      <w:r>
        <w:rPr>
          <w:rFonts w:hint="eastAsia" w:ascii="仿宋" w:hAnsi="仿宋" w:eastAsia="仿宋" w:cs="仿宋"/>
          <w:b/>
          <w:bCs/>
          <w:kern w:val="2"/>
          <w:sz w:val="28"/>
          <w:szCs w:val="28"/>
          <w:highlight w:val="none"/>
          <w:lang w:eastAsia="zh-CN"/>
        </w:rPr>
        <w:t>年度项目支出</w:t>
      </w:r>
      <w:r>
        <w:rPr>
          <w:rFonts w:hint="eastAsia" w:ascii="仿宋" w:hAnsi="仿宋" w:eastAsia="仿宋" w:cs="仿宋"/>
          <w:b/>
          <w:bCs/>
          <w:kern w:val="2"/>
          <w:sz w:val="28"/>
          <w:szCs w:val="28"/>
          <w:highlight w:val="none"/>
        </w:rPr>
        <w:t>绩效</w:t>
      </w:r>
      <w:r>
        <w:rPr>
          <w:rFonts w:hint="eastAsia" w:ascii="仿宋" w:hAnsi="仿宋" w:eastAsia="仿宋" w:cs="仿宋"/>
          <w:b/>
          <w:bCs/>
          <w:kern w:val="2"/>
          <w:sz w:val="28"/>
          <w:szCs w:val="28"/>
          <w:highlight w:val="none"/>
          <w:lang w:val="en-US" w:eastAsia="zh-CN"/>
        </w:rPr>
        <w:t>指标评分表</w:t>
      </w:r>
      <w:bookmarkEnd w:id="54"/>
      <w:bookmarkEnd w:id="55"/>
    </w:p>
    <w:p>
      <w:pPr>
        <w:pStyle w:val="11"/>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contextualSpacing/>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eastAsia" w:ascii="仿宋" w:hAnsi="仿宋" w:eastAsia="仿宋" w:cs="仿宋"/>
          <w:color w:val="auto"/>
          <w:kern w:val="2"/>
          <w:sz w:val="28"/>
          <w:szCs w:val="28"/>
          <w:highlight w:val="none"/>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eastAsia" w:ascii="仿宋" w:hAnsi="仿宋" w:eastAsia="仿宋" w:cs="仿宋"/>
          <w:color w:val="auto"/>
          <w:kern w:val="2"/>
          <w:sz w:val="28"/>
          <w:szCs w:val="28"/>
          <w:highlight w:val="none"/>
          <w:lang w:val="en-US" w:eastAsia="zh-CN"/>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1120" w:firstLineChars="400"/>
        <w:contextualSpacing/>
        <w:jc w:val="left"/>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320" w:firstLineChars="19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2023年9月24日</w:t>
      </w:r>
    </w:p>
    <w:p>
      <w:pPr>
        <w:keepNext w:val="0"/>
        <w:keepLines w:val="0"/>
        <w:pageBreakBefore w:val="0"/>
        <w:numPr>
          <w:ilvl w:val="0"/>
          <w:numId w:val="0"/>
        </w:numPr>
        <w:kinsoku/>
        <w:overflowPunct/>
        <w:topLinePunct w:val="0"/>
        <w:autoSpaceDE/>
        <w:autoSpaceDN/>
        <w:bidi w:val="0"/>
        <w:spacing w:line="360" w:lineRule="auto"/>
        <w:jc w:val="both"/>
        <w:textAlignment w:val="auto"/>
        <w:rPr>
          <w:rFonts w:hint="eastAsia" w:ascii="仿宋" w:hAnsi="仿宋" w:eastAsia="仿宋" w:cs="仿宋"/>
          <w:sz w:val="28"/>
          <w:szCs w:val="28"/>
          <w:highlight w:val="none"/>
          <w:lang w:val="en-US" w:eastAsia="zh-CN"/>
        </w:rPr>
      </w:pPr>
    </w:p>
    <w:sectPr>
      <w:footerReference r:id="rId14" w:type="default"/>
      <w:pgSz w:w="11906" w:h="16838"/>
      <w:pgMar w:top="1134" w:right="1701" w:bottom="1361"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86948F-067D-4AF3-88C9-64453AF2E4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2" w:fontKey="{7BE2C7AF-6123-4490-9BCE-3E1C4F9B44AC}"/>
  </w:font>
  <w:font w:name="方正小标宋简体">
    <w:panose1 w:val="02000000000000000000"/>
    <w:charset w:val="86"/>
    <w:family w:val="script"/>
    <w:pitch w:val="default"/>
    <w:sig w:usb0="00000001" w:usb1="08000000" w:usb2="00000000" w:usb3="00000000" w:csb0="00040000" w:csb1="00000000"/>
    <w:embedRegular r:id="rId3" w:fontKey="{60E5E938-64CA-45D3-B6C5-80FC8095F03F}"/>
  </w:font>
  <w:font w:name="仿宋_GB2312">
    <w:panose1 w:val="02010609030101010101"/>
    <w:charset w:val="86"/>
    <w:family w:val="modern"/>
    <w:pitch w:val="default"/>
    <w:sig w:usb0="00000001" w:usb1="080E0000" w:usb2="00000000" w:usb3="00000000" w:csb0="00040000" w:csb1="00000000"/>
    <w:embedRegular r:id="rId4" w:fontKey="{E616C2A1-FEE1-4F9D-828A-E3B412A18578}"/>
  </w:font>
  <w:font w:name="Cambria">
    <w:panose1 w:val="02040503050406030204"/>
    <w:charset w:val="00"/>
    <w:family w:val="roman"/>
    <w:pitch w:val="default"/>
    <w:sig w:usb0="E00006FF" w:usb1="420024FF" w:usb2="02000000" w:usb3="00000000" w:csb0="2000019F" w:csb1="00000000"/>
    <w:embedRegular r:id="rId5" w:fontKey="{A1A85908-A811-4EAC-B84E-0E99DEE2FA2E}"/>
  </w:font>
  <w:font w:name="隶书">
    <w:panose1 w:val="02010509060101010101"/>
    <w:charset w:val="86"/>
    <w:family w:val="modern"/>
    <w:pitch w:val="default"/>
    <w:sig w:usb0="00000001" w:usb1="080E0000" w:usb2="00000000" w:usb3="00000000" w:csb0="00040000" w:csb1="00000000"/>
    <w:embedRegular r:id="rId6" w:fontKey="{65901FE9-5DAD-4549-9744-E30573D29957}"/>
  </w:font>
  <w:font w:name="Arial Unicode MS">
    <w:panose1 w:val="020B0604020202020204"/>
    <w:charset w:val="86"/>
    <w:family w:val="auto"/>
    <w:pitch w:val="default"/>
    <w:sig w:usb0="FFFFFFFF" w:usb1="E9FFFFFF" w:usb2="0000003F" w:usb3="00000000" w:csb0="603F01FF" w:csb1="FFFF0000"/>
    <w:embedRegular r:id="rId7" w:fontKey="{D0FF0BED-55FA-4673-8A60-D95F64AC520B}"/>
  </w:font>
  <w:font w:name="微软雅黑">
    <w:panose1 w:val="020B0503020204020204"/>
    <w:charset w:val="86"/>
    <w:family w:val="auto"/>
    <w:pitch w:val="default"/>
    <w:sig w:usb0="80000287" w:usb1="2ACF3C50" w:usb2="00000016" w:usb3="00000000" w:csb0="0004001F" w:csb1="00000000"/>
    <w:embedRegular r:id="rId8" w:fontKey="{B7D2F12E-4DFE-4CEF-93F2-937E314190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7"/>
      <w:jc w:val="center"/>
      <w:rPr>
        <w:rFonts w:hint="eastAsia"/>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val="en-US" w:eastAsia="zh-CN"/>
      </w:rPr>
    </w:pPr>
  </w:p>
  <w:p>
    <w:pPr>
      <w:pStyle w:val="7"/>
      <w:jc w:val="center"/>
      <w:rPr>
        <w:rFonts w:hint="eastAsia"/>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7"/>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D6FB8"/>
    <w:multiLevelType w:val="singleLevel"/>
    <w:tmpl w:val="038D6F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OTc5NzM3MjE4YjVkYzlhZWZjZjYzOTgxNjZhYmIifQ=="/>
  </w:docVars>
  <w:rsids>
    <w:rsidRoot w:val="006553FD"/>
    <w:rsid w:val="000610D8"/>
    <w:rsid w:val="0034462D"/>
    <w:rsid w:val="00510E5D"/>
    <w:rsid w:val="00587A6D"/>
    <w:rsid w:val="006118BF"/>
    <w:rsid w:val="006553FD"/>
    <w:rsid w:val="009052E9"/>
    <w:rsid w:val="009716A5"/>
    <w:rsid w:val="0098202C"/>
    <w:rsid w:val="00CB203E"/>
    <w:rsid w:val="00CB7E42"/>
    <w:rsid w:val="00F74B25"/>
    <w:rsid w:val="00FB1BDD"/>
    <w:rsid w:val="00FD1F19"/>
    <w:rsid w:val="0143088D"/>
    <w:rsid w:val="0144147A"/>
    <w:rsid w:val="014B448A"/>
    <w:rsid w:val="02613768"/>
    <w:rsid w:val="02972A4D"/>
    <w:rsid w:val="031E1D1A"/>
    <w:rsid w:val="032479D2"/>
    <w:rsid w:val="04214C51"/>
    <w:rsid w:val="046F248F"/>
    <w:rsid w:val="04914425"/>
    <w:rsid w:val="04E13A54"/>
    <w:rsid w:val="04E26306"/>
    <w:rsid w:val="04FC4F84"/>
    <w:rsid w:val="0538276F"/>
    <w:rsid w:val="054C316F"/>
    <w:rsid w:val="055A2662"/>
    <w:rsid w:val="05C143B1"/>
    <w:rsid w:val="05E11832"/>
    <w:rsid w:val="05E91BB0"/>
    <w:rsid w:val="07254F2F"/>
    <w:rsid w:val="07336CFD"/>
    <w:rsid w:val="074971FC"/>
    <w:rsid w:val="076A3237"/>
    <w:rsid w:val="07BC3F10"/>
    <w:rsid w:val="08566A7B"/>
    <w:rsid w:val="08711ACB"/>
    <w:rsid w:val="08966833"/>
    <w:rsid w:val="08E2451B"/>
    <w:rsid w:val="08E72467"/>
    <w:rsid w:val="094D3822"/>
    <w:rsid w:val="099A6C2D"/>
    <w:rsid w:val="09B554AF"/>
    <w:rsid w:val="09BC676A"/>
    <w:rsid w:val="0A0145CC"/>
    <w:rsid w:val="0A2F1F54"/>
    <w:rsid w:val="0A4B19B8"/>
    <w:rsid w:val="0AF858DE"/>
    <w:rsid w:val="0B2F77D2"/>
    <w:rsid w:val="0B4D3BF1"/>
    <w:rsid w:val="0BCB0FBA"/>
    <w:rsid w:val="0BD455AB"/>
    <w:rsid w:val="0C0B5597"/>
    <w:rsid w:val="0CA46B2F"/>
    <w:rsid w:val="0CC47EE3"/>
    <w:rsid w:val="0D0C1280"/>
    <w:rsid w:val="0D2F28F9"/>
    <w:rsid w:val="0D3A38D0"/>
    <w:rsid w:val="0D42774F"/>
    <w:rsid w:val="0D657CAC"/>
    <w:rsid w:val="0DFB06D7"/>
    <w:rsid w:val="0DFC749D"/>
    <w:rsid w:val="0E3B31DF"/>
    <w:rsid w:val="0E58393F"/>
    <w:rsid w:val="0E9F7958"/>
    <w:rsid w:val="0EB91135"/>
    <w:rsid w:val="0EC36E68"/>
    <w:rsid w:val="0F1518AA"/>
    <w:rsid w:val="0F386966"/>
    <w:rsid w:val="0F4551ED"/>
    <w:rsid w:val="0F6328B2"/>
    <w:rsid w:val="0FEE0E1C"/>
    <w:rsid w:val="10145081"/>
    <w:rsid w:val="1018468C"/>
    <w:rsid w:val="102052AA"/>
    <w:rsid w:val="108A4BBD"/>
    <w:rsid w:val="10B50A33"/>
    <w:rsid w:val="10D9230E"/>
    <w:rsid w:val="10E10886"/>
    <w:rsid w:val="1121639C"/>
    <w:rsid w:val="11473FEA"/>
    <w:rsid w:val="11480948"/>
    <w:rsid w:val="11763879"/>
    <w:rsid w:val="117A5C2C"/>
    <w:rsid w:val="11891292"/>
    <w:rsid w:val="118A26B6"/>
    <w:rsid w:val="11901EDC"/>
    <w:rsid w:val="11A313FB"/>
    <w:rsid w:val="11D34974"/>
    <w:rsid w:val="12146903"/>
    <w:rsid w:val="12547238"/>
    <w:rsid w:val="127D6E0B"/>
    <w:rsid w:val="12D96F5E"/>
    <w:rsid w:val="134E0E97"/>
    <w:rsid w:val="13890E63"/>
    <w:rsid w:val="13B72459"/>
    <w:rsid w:val="13CF2577"/>
    <w:rsid w:val="13DA6E65"/>
    <w:rsid w:val="13E5068D"/>
    <w:rsid w:val="13F47B5D"/>
    <w:rsid w:val="13FA1CE9"/>
    <w:rsid w:val="14483D94"/>
    <w:rsid w:val="14BC5351"/>
    <w:rsid w:val="15284D87"/>
    <w:rsid w:val="15410885"/>
    <w:rsid w:val="15915022"/>
    <w:rsid w:val="15E70573"/>
    <w:rsid w:val="16600424"/>
    <w:rsid w:val="168B0AE8"/>
    <w:rsid w:val="16DA1BD6"/>
    <w:rsid w:val="16E35462"/>
    <w:rsid w:val="16E53E09"/>
    <w:rsid w:val="16F73DB7"/>
    <w:rsid w:val="174B7366"/>
    <w:rsid w:val="177A3D9C"/>
    <w:rsid w:val="17B14443"/>
    <w:rsid w:val="17C30BBE"/>
    <w:rsid w:val="17EA62B4"/>
    <w:rsid w:val="183A4DC4"/>
    <w:rsid w:val="18825DD6"/>
    <w:rsid w:val="189B5956"/>
    <w:rsid w:val="18C55DE8"/>
    <w:rsid w:val="18D568ED"/>
    <w:rsid w:val="19293347"/>
    <w:rsid w:val="19411E16"/>
    <w:rsid w:val="19476F4C"/>
    <w:rsid w:val="19872509"/>
    <w:rsid w:val="19A9175B"/>
    <w:rsid w:val="19DB4ABE"/>
    <w:rsid w:val="1A365B6F"/>
    <w:rsid w:val="1A725ABB"/>
    <w:rsid w:val="1AB05367"/>
    <w:rsid w:val="1B062571"/>
    <w:rsid w:val="1C712883"/>
    <w:rsid w:val="1C884703"/>
    <w:rsid w:val="1C940F1F"/>
    <w:rsid w:val="1CC63464"/>
    <w:rsid w:val="1CF4064E"/>
    <w:rsid w:val="1D04257E"/>
    <w:rsid w:val="1D2B3141"/>
    <w:rsid w:val="1D837797"/>
    <w:rsid w:val="1D8D125D"/>
    <w:rsid w:val="1DA455BF"/>
    <w:rsid w:val="1DD16691"/>
    <w:rsid w:val="1DDE2DCF"/>
    <w:rsid w:val="1DE92197"/>
    <w:rsid w:val="1E1C62C1"/>
    <w:rsid w:val="1E285CBA"/>
    <w:rsid w:val="1E3D7C6D"/>
    <w:rsid w:val="1E6F2104"/>
    <w:rsid w:val="1EA60122"/>
    <w:rsid w:val="1EC45F77"/>
    <w:rsid w:val="1EF90052"/>
    <w:rsid w:val="1F4B5069"/>
    <w:rsid w:val="1F741490"/>
    <w:rsid w:val="1FB449B9"/>
    <w:rsid w:val="20CE7DDA"/>
    <w:rsid w:val="20DF0472"/>
    <w:rsid w:val="2119252B"/>
    <w:rsid w:val="214A44E5"/>
    <w:rsid w:val="218336A1"/>
    <w:rsid w:val="21C13B79"/>
    <w:rsid w:val="223512C7"/>
    <w:rsid w:val="22812CEF"/>
    <w:rsid w:val="22B7205F"/>
    <w:rsid w:val="234C07DB"/>
    <w:rsid w:val="2357213C"/>
    <w:rsid w:val="241A0105"/>
    <w:rsid w:val="2426609F"/>
    <w:rsid w:val="243D7FA3"/>
    <w:rsid w:val="245E247D"/>
    <w:rsid w:val="248301B4"/>
    <w:rsid w:val="24CA6428"/>
    <w:rsid w:val="24DB67F3"/>
    <w:rsid w:val="24F85B4F"/>
    <w:rsid w:val="250D7824"/>
    <w:rsid w:val="25572797"/>
    <w:rsid w:val="25680356"/>
    <w:rsid w:val="256A3FC4"/>
    <w:rsid w:val="25EE348E"/>
    <w:rsid w:val="264F1FC7"/>
    <w:rsid w:val="26535612"/>
    <w:rsid w:val="26800EC7"/>
    <w:rsid w:val="2682216C"/>
    <w:rsid w:val="270E6816"/>
    <w:rsid w:val="272A4EF4"/>
    <w:rsid w:val="27796EA6"/>
    <w:rsid w:val="27923BEF"/>
    <w:rsid w:val="27C465B8"/>
    <w:rsid w:val="286D2A41"/>
    <w:rsid w:val="28C4372E"/>
    <w:rsid w:val="29140A5E"/>
    <w:rsid w:val="291B1D32"/>
    <w:rsid w:val="292A7FA0"/>
    <w:rsid w:val="29D206E5"/>
    <w:rsid w:val="2A1328A0"/>
    <w:rsid w:val="2B1E59B9"/>
    <w:rsid w:val="2B55319D"/>
    <w:rsid w:val="2B7650C9"/>
    <w:rsid w:val="2B824410"/>
    <w:rsid w:val="2BA032B8"/>
    <w:rsid w:val="2BAF5C4C"/>
    <w:rsid w:val="2BCA04EF"/>
    <w:rsid w:val="2BCA3C95"/>
    <w:rsid w:val="2BFA7A6E"/>
    <w:rsid w:val="2C3167C0"/>
    <w:rsid w:val="2C5C3248"/>
    <w:rsid w:val="2C64125E"/>
    <w:rsid w:val="2CE71032"/>
    <w:rsid w:val="2D493F84"/>
    <w:rsid w:val="2D7816D2"/>
    <w:rsid w:val="2E123EA1"/>
    <w:rsid w:val="2E3842B9"/>
    <w:rsid w:val="2F6B63A4"/>
    <w:rsid w:val="2F950E14"/>
    <w:rsid w:val="2FA228D5"/>
    <w:rsid w:val="2FC715D2"/>
    <w:rsid w:val="2FC972BA"/>
    <w:rsid w:val="2FD64E4D"/>
    <w:rsid w:val="2FD774C9"/>
    <w:rsid w:val="300E4B87"/>
    <w:rsid w:val="30227AED"/>
    <w:rsid w:val="309B2D5D"/>
    <w:rsid w:val="30E779E6"/>
    <w:rsid w:val="315035B3"/>
    <w:rsid w:val="31594282"/>
    <w:rsid w:val="32096A79"/>
    <w:rsid w:val="322E3DFF"/>
    <w:rsid w:val="32342C3E"/>
    <w:rsid w:val="323B67F2"/>
    <w:rsid w:val="32877139"/>
    <w:rsid w:val="331B32D4"/>
    <w:rsid w:val="33957669"/>
    <w:rsid w:val="339925AD"/>
    <w:rsid w:val="339A6E21"/>
    <w:rsid w:val="33B33864"/>
    <w:rsid w:val="348C4EDB"/>
    <w:rsid w:val="349C4D6D"/>
    <w:rsid w:val="34A00B14"/>
    <w:rsid w:val="34C51394"/>
    <w:rsid w:val="355949A8"/>
    <w:rsid w:val="356B22AB"/>
    <w:rsid w:val="35AD7627"/>
    <w:rsid w:val="361A1CBD"/>
    <w:rsid w:val="36671A7B"/>
    <w:rsid w:val="36764DFA"/>
    <w:rsid w:val="374705CF"/>
    <w:rsid w:val="37573784"/>
    <w:rsid w:val="3779311D"/>
    <w:rsid w:val="37AB38CA"/>
    <w:rsid w:val="37F069F3"/>
    <w:rsid w:val="386018A7"/>
    <w:rsid w:val="38A357FF"/>
    <w:rsid w:val="38D83DA0"/>
    <w:rsid w:val="391261EF"/>
    <w:rsid w:val="391467C0"/>
    <w:rsid w:val="39322F0F"/>
    <w:rsid w:val="399E39A9"/>
    <w:rsid w:val="3A1B4BCC"/>
    <w:rsid w:val="3A501992"/>
    <w:rsid w:val="3B131EB2"/>
    <w:rsid w:val="3B3213E9"/>
    <w:rsid w:val="3B4518B2"/>
    <w:rsid w:val="3BB5472F"/>
    <w:rsid w:val="3BD744AF"/>
    <w:rsid w:val="3C215E42"/>
    <w:rsid w:val="3C357632"/>
    <w:rsid w:val="3C7D4B5C"/>
    <w:rsid w:val="3CC2788D"/>
    <w:rsid w:val="3CDF462C"/>
    <w:rsid w:val="3D01613F"/>
    <w:rsid w:val="3D131B16"/>
    <w:rsid w:val="3D171E23"/>
    <w:rsid w:val="3DA46E62"/>
    <w:rsid w:val="3DD220B1"/>
    <w:rsid w:val="3E0A2557"/>
    <w:rsid w:val="3E433B2F"/>
    <w:rsid w:val="3E9A1ED7"/>
    <w:rsid w:val="3EAC39A6"/>
    <w:rsid w:val="3EC97F7C"/>
    <w:rsid w:val="3F58505F"/>
    <w:rsid w:val="3F6B55F5"/>
    <w:rsid w:val="3F737B86"/>
    <w:rsid w:val="3F831836"/>
    <w:rsid w:val="406A323D"/>
    <w:rsid w:val="407C0939"/>
    <w:rsid w:val="40957C27"/>
    <w:rsid w:val="40EF3CF2"/>
    <w:rsid w:val="417235CA"/>
    <w:rsid w:val="422623A5"/>
    <w:rsid w:val="4256763B"/>
    <w:rsid w:val="42D16657"/>
    <w:rsid w:val="42E15FC6"/>
    <w:rsid w:val="435D59AE"/>
    <w:rsid w:val="43670011"/>
    <w:rsid w:val="43B2241F"/>
    <w:rsid w:val="43BD3CDE"/>
    <w:rsid w:val="44516381"/>
    <w:rsid w:val="44747C78"/>
    <w:rsid w:val="44915BF6"/>
    <w:rsid w:val="44B5075F"/>
    <w:rsid w:val="44EF48D1"/>
    <w:rsid w:val="45976EB0"/>
    <w:rsid w:val="45C41750"/>
    <w:rsid w:val="46065001"/>
    <w:rsid w:val="462907DC"/>
    <w:rsid w:val="47163D7B"/>
    <w:rsid w:val="471A0E3A"/>
    <w:rsid w:val="474E2263"/>
    <w:rsid w:val="47B34B2C"/>
    <w:rsid w:val="47B96206"/>
    <w:rsid w:val="47E701C3"/>
    <w:rsid w:val="482903AF"/>
    <w:rsid w:val="48736866"/>
    <w:rsid w:val="48896B97"/>
    <w:rsid w:val="48A17D12"/>
    <w:rsid w:val="499C69CB"/>
    <w:rsid w:val="49D901DE"/>
    <w:rsid w:val="49E57CBF"/>
    <w:rsid w:val="49FA7E2C"/>
    <w:rsid w:val="4A0C70AF"/>
    <w:rsid w:val="4AA03489"/>
    <w:rsid w:val="4AA46C3D"/>
    <w:rsid w:val="4AE70F64"/>
    <w:rsid w:val="4B2D7E7A"/>
    <w:rsid w:val="4B6E76C1"/>
    <w:rsid w:val="4B7508EB"/>
    <w:rsid w:val="4B8E213E"/>
    <w:rsid w:val="4BC04DC1"/>
    <w:rsid w:val="4C02765E"/>
    <w:rsid w:val="4C532704"/>
    <w:rsid w:val="4CF42DDD"/>
    <w:rsid w:val="4D082D41"/>
    <w:rsid w:val="4D170761"/>
    <w:rsid w:val="4D4D7654"/>
    <w:rsid w:val="4DCD1808"/>
    <w:rsid w:val="4E1E1819"/>
    <w:rsid w:val="4E39442C"/>
    <w:rsid w:val="4E5008D0"/>
    <w:rsid w:val="4EB86D6D"/>
    <w:rsid w:val="4ED102F6"/>
    <w:rsid w:val="4EE0513F"/>
    <w:rsid w:val="4F293FD1"/>
    <w:rsid w:val="4F7F3277"/>
    <w:rsid w:val="4F9D64E6"/>
    <w:rsid w:val="4F9D7425"/>
    <w:rsid w:val="50151A64"/>
    <w:rsid w:val="50502881"/>
    <w:rsid w:val="508A644B"/>
    <w:rsid w:val="51046643"/>
    <w:rsid w:val="51577100"/>
    <w:rsid w:val="517155CB"/>
    <w:rsid w:val="51B6571C"/>
    <w:rsid w:val="521F6A2C"/>
    <w:rsid w:val="52306C59"/>
    <w:rsid w:val="523625E6"/>
    <w:rsid w:val="52E71802"/>
    <w:rsid w:val="52E81D78"/>
    <w:rsid w:val="532B36F7"/>
    <w:rsid w:val="53691489"/>
    <w:rsid w:val="537F60A7"/>
    <w:rsid w:val="538E654D"/>
    <w:rsid w:val="53F570AB"/>
    <w:rsid w:val="543426BF"/>
    <w:rsid w:val="54576093"/>
    <w:rsid w:val="54767185"/>
    <w:rsid w:val="54806739"/>
    <w:rsid w:val="54972046"/>
    <w:rsid w:val="549A4073"/>
    <w:rsid w:val="54A808BB"/>
    <w:rsid w:val="54B50B17"/>
    <w:rsid w:val="54E975BD"/>
    <w:rsid w:val="54FA6421"/>
    <w:rsid w:val="55D17FE7"/>
    <w:rsid w:val="563B5D4D"/>
    <w:rsid w:val="569745A7"/>
    <w:rsid w:val="56B15BEA"/>
    <w:rsid w:val="56E06F7F"/>
    <w:rsid w:val="56FC33A3"/>
    <w:rsid w:val="57E41DCC"/>
    <w:rsid w:val="57E866BC"/>
    <w:rsid w:val="57FF601C"/>
    <w:rsid w:val="580376B3"/>
    <w:rsid w:val="581623A1"/>
    <w:rsid w:val="5842131C"/>
    <w:rsid w:val="587873A1"/>
    <w:rsid w:val="59192988"/>
    <w:rsid w:val="598A2DDA"/>
    <w:rsid w:val="5AA0484E"/>
    <w:rsid w:val="5AFD7996"/>
    <w:rsid w:val="5B023A60"/>
    <w:rsid w:val="5B1E41F8"/>
    <w:rsid w:val="5B543CBA"/>
    <w:rsid w:val="5B5F685F"/>
    <w:rsid w:val="5B90790F"/>
    <w:rsid w:val="5BE318D4"/>
    <w:rsid w:val="5C637435"/>
    <w:rsid w:val="5C99060D"/>
    <w:rsid w:val="5CDD5A18"/>
    <w:rsid w:val="5D046280"/>
    <w:rsid w:val="5D4E06D0"/>
    <w:rsid w:val="5D6E5996"/>
    <w:rsid w:val="5D7D12D2"/>
    <w:rsid w:val="5DD51BDF"/>
    <w:rsid w:val="5DD919B1"/>
    <w:rsid w:val="5E493261"/>
    <w:rsid w:val="5E8D16E1"/>
    <w:rsid w:val="5EA02954"/>
    <w:rsid w:val="5EAE0FA0"/>
    <w:rsid w:val="5EC1169B"/>
    <w:rsid w:val="5EEE6F69"/>
    <w:rsid w:val="5F1E43FC"/>
    <w:rsid w:val="5F2222C2"/>
    <w:rsid w:val="5F2A743A"/>
    <w:rsid w:val="5F38683C"/>
    <w:rsid w:val="5FEC26FB"/>
    <w:rsid w:val="602A1867"/>
    <w:rsid w:val="602C5C12"/>
    <w:rsid w:val="602E3933"/>
    <w:rsid w:val="603D3AFA"/>
    <w:rsid w:val="6054590E"/>
    <w:rsid w:val="60553426"/>
    <w:rsid w:val="60806F1F"/>
    <w:rsid w:val="60BB71C0"/>
    <w:rsid w:val="60CC31B4"/>
    <w:rsid w:val="60F86860"/>
    <w:rsid w:val="61034F55"/>
    <w:rsid w:val="61054235"/>
    <w:rsid w:val="611363A8"/>
    <w:rsid w:val="61411F15"/>
    <w:rsid w:val="61BB4F24"/>
    <w:rsid w:val="61FF4602"/>
    <w:rsid w:val="6282244A"/>
    <w:rsid w:val="62F91F51"/>
    <w:rsid w:val="63002286"/>
    <w:rsid w:val="633D167C"/>
    <w:rsid w:val="63A11A3F"/>
    <w:rsid w:val="63CB6CB5"/>
    <w:rsid w:val="64355F0E"/>
    <w:rsid w:val="64AD23E1"/>
    <w:rsid w:val="64AE21E2"/>
    <w:rsid w:val="64D532A9"/>
    <w:rsid w:val="64FD2099"/>
    <w:rsid w:val="64FF6ADE"/>
    <w:rsid w:val="652146FB"/>
    <w:rsid w:val="654F001E"/>
    <w:rsid w:val="657F4273"/>
    <w:rsid w:val="65866261"/>
    <w:rsid w:val="66170870"/>
    <w:rsid w:val="66483F1B"/>
    <w:rsid w:val="665B625D"/>
    <w:rsid w:val="66EE1EAE"/>
    <w:rsid w:val="66F93DCA"/>
    <w:rsid w:val="67232083"/>
    <w:rsid w:val="67401089"/>
    <w:rsid w:val="67626AA4"/>
    <w:rsid w:val="677B6565"/>
    <w:rsid w:val="67B703C4"/>
    <w:rsid w:val="67CB2B39"/>
    <w:rsid w:val="67FC3AB9"/>
    <w:rsid w:val="68385372"/>
    <w:rsid w:val="68620E2B"/>
    <w:rsid w:val="68991E73"/>
    <w:rsid w:val="68996E16"/>
    <w:rsid w:val="689F4625"/>
    <w:rsid w:val="68D86BF9"/>
    <w:rsid w:val="68D92092"/>
    <w:rsid w:val="694F4EA7"/>
    <w:rsid w:val="69576324"/>
    <w:rsid w:val="69925B38"/>
    <w:rsid w:val="69956D79"/>
    <w:rsid w:val="69F76873"/>
    <w:rsid w:val="6A4D4D3C"/>
    <w:rsid w:val="6AC141B9"/>
    <w:rsid w:val="6B2011A7"/>
    <w:rsid w:val="6BAC44E5"/>
    <w:rsid w:val="6BB71D8B"/>
    <w:rsid w:val="6BEE4619"/>
    <w:rsid w:val="6C0729DB"/>
    <w:rsid w:val="6C1D74FA"/>
    <w:rsid w:val="6C3A407C"/>
    <w:rsid w:val="6C4D5BCC"/>
    <w:rsid w:val="6C5C1D08"/>
    <w:rsid w:val="6CC532FE"/>
    <w:rsid w:val="6CCA0373"/>
    <w:rsid w:val="6CDA534F"/>
    <w:rsid w:val="6CEB7475"/>
    <w:rsid w:val="6CED7F50"/>
    <w:rsid w:val="6D0C1F17"/>
    <w:rsid w:val="6D0C450A"/>
    <w:rsid w:val="6D2125AC"/>
    <w:rsid w:val="6D5C2995"/>
    <w:rsid w:val="6D986AE8"/>
    <w:rsid w:val="6E661DDA"/>
    <w:rsid w:val="6ED9511F"/>
    <w:rsid w:val="6EE81CAD"/>
    <w:rsid w:val="6F333008"/>
    <w:rsid w:val="6F43268C"/>
    <w:rsid w:val="6F4627D8"/>
    <w:rsid w:val="6FC14765"/>
    <w:rsid w:val="6FF95953"/>
    <w:rsid w:val="709B4E02"/>
    <w:rsid w:val="70D97FEC"/>
    <w:rsid w:val="718D4B73"/>
    <w:rsid w:val="72047050"/>
    <w:rsid w:val="7274314A"/>
    <w:rsid w:val="73013B9C"/>
    <w:rsid w:val="733818D1"/>
    <w:rsid w:val="73832845"/>
    <w:rsid w:val="73F25AF4"/>
    <w:rsid w:val="73F45AF2"/>
    <w:rsid w:val="73F6747D"/>
    <w:rsid w:val="74424693"/>
    <w:rsid w:val="746A2535"/>
    <w:rsid w:val="746C7816"/>
    <w:rsid w:val="74753E0F"/>
    <w:rsid w:val="74C672AC"/>
    <w:rsid w:val="755C0AD9"/>
    <w:rsid w:val="756822D6"/>
    <w:rsid w:val="758B2F20"/>
    <w:rsid w:val="75CD0A0C"/>
    <w:rsid w:val="75CF04C6"/>
    <w:rsid w:val="7624358B"/>
    <w:rsid w:val="766E23DB"/>
    <w:rsid w:val="76AC5CF8"/>
    <w:rsid w:val="76D55E4D"/>
    <w:rsid w:val="771E15F5"/>
    <w:rsid w:val="779A6251"/>
    <w:rsid w:val="77A777E6"/>
    <w:rsid w:val="77FE095C"/>
    <w:rsid w:val="785557B8"/>
    <w:rsid w:val="78EC2E1F"/>
    <w:rsid w:val="79227053"/>
    <w:rsid w:val="792D5A15"/>
    <w:rsid w:val="797931D4"/>
    <w:rsid w:val="79907BF0"/>
    <w:rsid w:val="79A63026"/>
    <w:rsid w:val="79AC59BE"/>
    <w:rsid w:val="79C8509A"/>
    <w:rsid w:val="79D33489"/>
    <w:rsid w:val="7A3C068E"/>
    <w:rsid w:val="7A5F5AFA"/>
    <w:rsid w:val="7A65732D"/>
    <w:rsid w:val="7A824ED6"/>
    <w:rsid w:val="7A9E67AE"/>
    <w:rsid w:val="7AE8284E"/>
    <w:rsid w:val="7B5C106C"/>
    <w:rsid w:val="7B954F76"/>
    <w:rsid w:val="7B9626DB"/>
    <w:rsid w:val="7BF520BE"/>
    <w:rsid w:val="7BFF748F"/>
    <w:rsid w:val="7C144CEC"/>
    <w:rsid w:val="7C203A7C"/>
    <w:rsid w:val="7C585A5D"/>
    <w:rsid w:val="7C697AF2"/>
    <w:rsid w:val="7C932C89"/>
    <w:rsid w:val="7CAC6088"/>
    <w:rsid w:val="7CFA7A4E"/>
    <w:rsid w:val="7D417FD2"/>
    <w:rsid w:val="7DD92D27"/>
    <w:rsid w:val="7DE94561"/>
    <w:rsid w:val="7DEB2E3A"/>
    <w:rsid w:val="7DFC6567"/>
    <w:rsid w:val="7E103FAB"/>
    <w:rsid w:val="7E9313DA"/>
    <w:rsid w:val="7EE31F15"/>
    <w:rsid w:val="7F1475B9"/>
    <w:rsid w:val="7F4F5431"/>
    <w:rsid w:val="7F682B8A"/>
    <w:rsid w:val="7FE83911"/>
    <w:rsid w:val="7FF62B36"/>
    <w:rsid w:val="7FFE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ind w:left="161"/>
    </w:pPr>
    <w:rPr>
      <w:rFonts w:hint="eastAsia" w:ascii="Microsoft JhengHei" w:hAnsi="Microsoft JhengHei" w:eastAsia="Microsoft JhengHei" w:cs="Times New Roman"/>
      <w:sz w:val="24"/>
      <w:szCs w:val="24"/>
    </w:r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5"/>
    <w:unhideWhenUsed/>
    <w:qFormat/>
    <w:uiPriority w:val="99"/>
    <w:pPr>
      <w:ind w:firstLine="420" w:firstLineChars="100"/>
    </w:p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666666"/>
      <w:u w:val="none"/>
    </w:rPr>
  </w:style>
  <w:style w:type="character" w:styleId="18">
    <w:name w:val="HTML Definition"/>
    <w:basedOn w:val="14"/>
    <w:qFormat/>
    <w:uiPriority w:val="0"/>
    <w:rPr>
      <w:i/>
      <w:iCs/>
    </w:rPr>
  </w:style>
  <w:style w:type="character" w:styleId="19">
    <w:name w:val="Hyperlink"/>
    <w:basedOn w:val="14"/>
    <w:qFormat/>
    <w:uiPriority w:val="0"/>
    <w:rPr>
      <w:color w:val="666666"/>
      <w:u w:val="none"/>
    </w:rPr>
  </w:style>
  <w:style w:type="character" w:styleId="20">
    <w:name w:val="HTML Code"/>
    <w:basedOn w:val="14"/>
    <w:qFormat/>
    <w:uiPriority w:val="0"/>
    <w:rPr>
      <w:rFonts w:hint="default" w:ascii="Consolas" w:hAnsi="Consolas" w:eastAsia="Consolas" w:cs="Consolas"/>
      <w:color w:val="C7254E"/>
      <w:sz w:val="21"/>
      <w:szCs w:val="21"/>
      <w:shd w:val="clear" w:fill="F9F2F4"/>
    </w:rPr>
  </w:style>
  <w:style w:type="character" w:styleId="21">
    <w:name w:val="HTML Keyboard"/>
    <w:basedOn w:val="14"/>
    <w:qFormat/>
    <w:uiPriority w:val="0"/>
    <w:rPr>
      <w:rFonts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character" w:customStyle="1" w:styleId="23">
    <w:name w:val="文档结构图 Char"/>
    <w:basedOn w:val="14"/>
    <w:link w:val="24"/>
    <w:semiHidden/>
    <w:qFormat/>
    <w:uiPriority w:val="0"/>
    <w:rPr>
      <w:rFonts w:ascii="宋体"/>
      <w:kern w:val="2"/>
      <w:sz w:val="18"/>
      <w:szCs w:val="18"/>
    </w:rPr>
  </w:style>
  <w:style w:type="paragraph" w:customStyle="1" w:styleId="24">
    <w:name w:val="文档结构图1"/>
    <w:basedOn w:val="1"/>
    <w:link w:val="23"/>
    <w:qFormat/>
    <w:uiPriority w:val="0"/>
    <w:rPr>
      <w:rFonts w:ascii="宋体"/>
      <w:sz w:val="18"/>
      <w:szCs w:val="18"/>
    </w:rPr>
  </w:style>
  <w:style w:type="paragraph" w:customStyle="1" w:styleId="25">
    <w:name w:val="批注框文本1"/>
    <w:basedOn w:val="1"/>
    <w:qFormat/>
    <w:uiPriority w:val="0"/>
    <w:rPr>
      <w:sz w:val="18"/>
      <w:szCs w:val="18"/>
    </w:rPr>
  </w:style>
  <w:style w:type="paragraph" w:customStyle="1" w:styleId="26">
    <w:name w:val="0"/>
    <w:basedOn w:val="1"/>
    <w:qFormat/>
    <w:uiPriority w:val="0"/>
    <w:pPr>
      <w:widowControl/>
      <w:snapToGrid w:val="0"/>
      <w:spacing w:line="408" w:lineRule="auto"/>
      <w:ind w:left="1"/>
    </w:pPr>
    <w:rPr>
      <w:color w:val="000000"/>
      <w:kern w:val="0"/>
      <w:szCs w:val="21"/>
    </w:rPr>
  </w:style>
  <w:style w:type="paragraph" w:customStyle="1" w:styleId="27">
    <w:name w:val="正文文本缩进1"/>
    <w:basedOn w:val="1"/>
    <w:qFormat/>
    <w:uiPriority w:val="0"/>
    <w:pPr>
      <w:spacing w:line="560" w:lineRule="atLeast"/>
      <w:ind w:firstLine="542" w:firstLineChars="200"/>
    </w:pPr>
    <w:rPr>
      <w:rFonts w:ascii="宋体"/>
      <w:sz w:val="24"/>
      <w:szCs w:val="20"/>
    </w:rPr>
  </w:style>
  <w:style w:type="paragraph" w:customStyle="1" w:styleId="28">
    <w:name w:val="正文文本缩进 21"/>
    <w:basedOn w:val="1"/>
    <w:qFormat/>
    <w:uiPriority w:val="0"/>
    <w:pPr>
      <w:spacing w:after="120" w:line="480" w:lineRule="auto"/>
      <w:ind w:left="200" w:leftChars="200"/>
    </w:pPr>
  </w:style>
  <w:style w:type="character" w:customStyle="1" w:styleId="29">
    <w:name w:val="页码1"/>
    <w:basedOn w:val="14"/>
    <w:qFormat/>
    <w:uiPriority w:val="0"/>
  </w:style>
  <w:style w:type="character" w:customStyle="1" w:styleId="30">
    <w:name w:val="批注框文本 Char"/>
    <w:basedOn w:val="14"/>
    <w:link w:val="6"/>
    <w:qFormat/>
    <w:uiPriority w:val="0"/>
    <w:rPr>
      <w:kern w:val="2"/>
      <w:sz w:val="18"/>
      <w:szCs w:val="18"/>
    </w:rPr>
  </w:style>
  <w:style w:type="character" w:customStyle="1" w:styleId="31">
    <w:name w:val="font11"/>
    <w:basedOn w:val="14"/>
    <w:qFormat/>
    <w:uiPriority w:val="0"/>
    <w:rPr>
      <w:rFonts w:hint="eastAsia" w:ascii="宋体" w:hAnsi="宋体" w:eastAsia="宋体" w:cs="宋体"/>
      <w:color w:val="000000"/>
      <w:sz w:val="20"/>
      <w:szCs w:val="20"/>
      <w:u w:val="none"/>
    </w:rPr>
  </w:style>
  <w:style w:type="character" w:customStyle="1" w:styleId="32">
    <w:name w:val="正文 + Arial Char"/>
    <w:link w:val="33"/>
    <w:qFormat/>
    <w:uiPriority w:val="0"/>
    <w:rPr>
      <w:rFonts w:ascii="Arial" w:cs="Arial"/>
    </w:rPr>
  </w:style>
  <w:style w:type="paragraph" w:customStyle="1" w:styleId="33">
    <w:name w:val="正文 + Arial"/>
    <w:basedOn w:val="1"/>
    <w:link w:val="32"/>
    <w:qFormat/>
    <w:uiPriority w:val="0"/>
    <w:pPr>
      <w:spacing w:after="120" w:afterLines="50" w:line="360" w:lineRule="auto"/>
      <w:ind w:firstLine="420" w:firstLineChars="200"/>
    </w:pPr>
    <w:rPr>
      <w:rFonts w:ascii="Arial" w:cs="Arial"/>
    </w:rPr>
  </w:style>
  <w:style w:type="paragraph" w:customStyle="1" w:styleId="34">
    <w:name w:val="列出段落1"/>
    <w:basedOn w:val="1"/>
    <w:qFormat/>
    <w:uiPriority w:val="0"/>
    <w:pPr>
      <w:ind w:firstLine="420" w:firstLineChars="200"/>
    </w:pPr>
    <w:rPr>
      <w:rFonts w:ascii="Calibri" w:hAnsi="Calibri"/>
      <w:szCs w:val="22"/>
    </w:rPr>
  </w:style>
  <w:style w:type="paragraph" w:customStyle="1" w:styleId="35">
    <w:name w:val="列出段落11"/>
    <w:basedOn w:val="1"/>
    <w:qFormat/>
    <w:uiPriority w:val="0"/>
    <w:pPr>
      <w:ind w:firstLine="420" w:firstLineChars="200"/>
    </w:pPr>
    <w:rPr>
      <w:rFonts w:ascii="Calibri" w:hAnsi="Calibri"/>
      <w:szCs w:val="22"/>
    </w:rPr>
  </w:style>
  <w:style w:type="paragraph" w:customStyle="1" w:styleId="36">
    <w:name w:val="￥正文"/>
    <w:basedOn w:val="1"/>
    <w:qFormat/>
    <w:uiPriority w:val="0"/>
    <w:pPr>
      <w:widowControl/>
      <w:spacing w:beforeLines="50" w:afterLines="50" w:line="500" w:lineRule="exact"/>
      <w:ind w:firstLine="200" w:firstLineChars="200"/>
    </w:pPr>
    <w:rPr>
      <w:rFonts w:ascii="Times New Roman" w:hAnsi="Times New Roman" w:eastAsia="宋体" w:cs="Times New Roman"/>
      <w:kern w:val="0"/>
      <w:sz w:val="24"/>
      <w:szCs w:val="20"/>
    </w:rPr>
  </w:style>
  <w:style w:type="paragraph" w:customStyle="1" w:styleId="37">
    <w:name w:val="_Style 1"/>
    <w:basedOn w:val="1"/>
    <w:qFormat/>
    <w:uiPriority w:val="0"/>
    <w:pPr>
      <w:ind w:firstLine="420" w:firstLineChars="200"/>
    </w:pPr>
  </w:style>
  <w:style w:type="paragraph" w:customStyle="1" w:styleId="38">
    <w:name w:val="Body text|1"/>
    <w:basedOn w:val="1"/>
    <w:qFormat/>
    <w:uiPriority w:val="0"/>
    <w:pPr>
      <w:widowControl w:val="0"/>
      <w:shd w:val="clear" w:color="auto" w:fill="auto"/>
      <w:spacing w:line="269" w:lineRule="auto"/>
    </w:pPr>
    <w:rPr>
      <w:rFonts w:ascii="宋体" w:hAnsi="宋体" w:eastAsia="宋体" w:cs="宋体"/>
      <w:sz w:val="20"/>
      <w:szCs w:val="20"/>
      <w:u w:val="none"/>
      <w:shd w:val="clear" w:color="auto" w:fill="auto"/>
      <w:lang w:val="zh-TW" w:eastAsia="zh-TW" w:bidi="zh-TW"/>
    </w:rPr>
  </w:style>
  <w:style w:type="paragraph" w:customStyle="1" w:styleId="39">
    <w:name w:val="Heading #1|1"/>
    <w:basedOn w:val="1"/>
    <w:qFormat/>
    <w:uiPriority w:val="0"/>
    <w:pPr>
      <w:widowControl w:val="0"/>
      <w:shd w:val="clear" w:color="auto" w:fill="auto"/>
      <w:spacing w:after="420" w:line="574" w:lineRule="exact"/>
      <w:outlineLvl w:val="0"/>
    </w:pPr>
    <w:rPr>
      <w:rFonts w:ascii="宋体" w:hAnsi="宋体" w:eastAsia="宋体" w:cs="宋体"/>
      <w:sz w:val="34"/>
      <w:szCs w:val="34"/>
      <w:u w:val="none"/>
      <w:shd w:val="clear" w:color="auto" w:fill="auto"/>
      <w:lang w:val="zh-TW" w:eastAsia="zh-TW" w:bidi="zh-TW"/>
    </w:rPr>
  </w:style>
  <w:style w:type="paragraph" w:customStyle="1" w:styleId="40">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character" w:customStyle="1" w:styleId="43">
    <w:name w:val="time"/>
    <w:basedOn w:val="14"/>
    <w:qFormat/>
    <w:uiPriority w:val="0"/>
  </w:style>
  <w:style w:type="character" w:customStyle="1" w:styleId="44">
    <w:name w:val="print"/>
    <w:basedOn w:val="14"/>
    <w:qFormat/>
    <w:uiPriority w:val="0"/>
  </w:style>
  <w:style w:type="character" w:customStyle="1" w:styleId="45">
    <w:name w:val="font"/>
    <w:basedOn w:val="14"/>
    <w:qFormat/>
    <w:uiPriority w:val="0"/>
  </w:style>
  <w:style w:type="character" w:customStyle="1" w:styleId="46">
    <w:name w:val="on"/>
    <w:basedOn w:val="14"/>
    <w:qFormat/>
    <w:uiPriority w:val="0"/>
    <w:rPr>
      <w:color w:val="1987D6"/>
    </w:rPr>
  </w:style>
  <w:style w:type="character" w:customStyle="1" w:styleId="47">
    <w:name w:val="hover26"/>
    <w:basedOn w:val="14"/>
    <w:qFormat/>
    <w:uiPriority w:val="0"/>
    <w:rPr>
      <w:shd w:val="clear" w:fill="FF9900"/>
    </w:rPr>
  </w:style>
  <w:style w:type="character" w:customStyle="1" w:styleId="48">
    <w:name w:val="hover27"/>
    <w:basedOn w:val="14"/>
    <w:qFormat/>
    <w:uiPriority w:val="0"/>
    <w:rPr>
      <w:shd w:val="clear" w:fill="EEEEEE"/>
    </w:rPr>
  </w:style>
  <w:style w:type="character" w:customStyle="1" w:styleId="49">
    <w:name w:val="tit"/>
    <w:basedOn w:val="14"/>
    <w:qFormat/>
    <w:uiPriority w:val="0"/>
    <w:rPr>
      <w:sz w:val="24"/>
      <w:szCs w:val="24"/>
    </w:rPr>
  </w:style>
  <w:style w:type="character" w:customStyle="1" w:styleId="50">
    <w:name w:val="hover28"/>
    <w:basedOn w:val="14"/>
    <w:qFormat/>
    <w:uiPriority w:val="0"/>
    <w:rPr>
      <w:color w:val="AAAAAA"/>
    </w:rPr>
  </w:style>
  <w:style w:type="character" w:customStyle="1" w:styleId="51">
    <w:name w:val="hour_am"/>
    <w:basedOn w:val="14"/>
    <w:qFormat/>
    <w:uiPriority w:val="0"/>
  </w:style>
  <w:style w:type="character" w:customStyle="1" w:styleId="52">
    <w:name w:val="old"/>
    <w:basedOn w:val="14"/>
    <w:qFormat/>
    <w:uiPriority w:val="0"/>
    <w:rPr>
      <w:color w:val="999999"/>
    </w:rPr>
  </w:style>
  <w:style w:type="character" w:customStyle="1" w:styleId="53">
    <w:name w:val="glyphicon14"/>
    <w:basedOn w:val="14"/>
    <w:qFormat/>
    <w:uiPriority w:val="0"/>
  </w:style>
  <w:style w:type="character" w:customStyle="1" w:styleId="54">
    <w:name w:val="hour_pm"/>
    <w:basedOn w:val="14"/>
    <w:qFormat/>
    <w:uiPriority w:val="0"/>
  </w:style>
  <w:style w:type="character" w:customStyle="1" w:styleId="55">
    <w:name w:val="bsharetext"/>
    <w:basedOn w:val="14"/>
    <w:qFormat/>
    <w:uiPriority w:val="0"/>
  </w:style>
  <w:style w:type="character" w:customStyle="1" w:styleId="56">
    <w:name w:val="hover21"/>
    <w:basedOn w:val="14"/>
    <w:qFormat/>
    <w:uiPriority w:val="0"/>
    <w:rPr>
      <w:color w:val="AAAAAA"/>
    </w:rPr>
  </w:style>
  <w:style w:type="character" w:customStyle="1" w:styleId="57">
    <w:name w:val="on4"/>
    <w:basedOn w:val="14"/>
    <w:qFormat/>
    <w:uiPriority w:val="0"/>
    <w:rPr>
      <w:color w:val="1987D6"/>
    </w:rPr>
  </w:style>
  <w:style w:type="character" w:customStyle="1" w:styleId="58">
    <w:name w:val="hover19"/>
    <w:basedOn w:val="14"/>
    <w:qFormat/>
    <w:uiPriority w:val="0"/>
    <w:rPr>
      <w:shd w:val="clear" w:fill="FF9900"/>
    </w:rPr>
  </w:style>
  <w:style w:type="character" w:customStyle="1" w:styleId="59">
    <w:name w:val="hover20"/>
    <w:basedOn w:val="14"/>
    <w:qFormat/>
    <w:uiPriority w:val="0"/>
    <w:rPr>
      <w:shd w:val="clear" w:fill="EEEEEE"/>
    </w:rPr>
  </w:style>
  <w:style w:type="character" w:customStyle="1" w:styleId="60">
    <w:name w:val="calendar-head__next-range-btn"/>
    <w:basedOn w:val="14"/>
    <w:qFormat/>
    <w:uiPriority w:val="0"/>
    <w:rPr>
      <w:vanish/>
    </w:rPr>
  </w:style>
  <w:style w:type="character" w:customStyle="1" w:styleId="61">
    <w:name w:val="calendar-head__text-display"/>
    <w:basedOn w:val="14"/>
    <w:qFormat/>
    <w:uiPriority w:val="0"/>
    <w:rPr>
      <w:vanish/>
    </w:rPr>
  </w:style>
  <w:style w:type="character" w:customStyle="1" w:styleId="62">
    <w:name w:val="hover"/>
    <w:basedOn w:val="14"/>
    <w:qFormat/>
    <w:uiPriority w:val="0"/>
    <w:rPr>
      <w:color w:val="2F6EA2"/>
    </w:rPr>
  </w:style>
  <w:style w:type="character" w:customStyle="1" w:styleId="63">
    <w:name w:val="calendar-head__next-month-btn"/>
    <w:basedOn w:val="14"/>
    <w:qFormat/>
    <w:uiPriority w:val="0"/>
  </w:style>
  <w:style w:type="character" w:customStyle="1" w:styleId="64">
    <w:name w:val="calendar-head__next-year-btn"/>
    <w:basedOn w:val="14"/>
    <w:qFormat/>
    <w:uiPriority w:val="0"/>
  </w:style>
  <w:style w:type="character" w:customStyle="1" w:styleId="65">
    <w:name w:val="calendar-head__prev-range-btn"/>
    <w:basedOn w:val="14"/>
    <w:qFormat/>
    <w:uiPriority w:val="0"/>
    <w:rPr>
      <w:vanish/>
    </w:rPr>
  </w:style>
  <w:style w:type="character" w:customStyle="1" w:styleId="66">
    <w:name w:val="calendar-head__year-range"/>
    <w:basedOn w:val="14"/>
    <w:qFormat/>
    <w:uiPriority w:val="0"/>
    <w:rPr>
      <w:vanish/>
    </w:rPr>
  </w:style>
  <w:style w:type="character" w:customStyle="1" w:styleId="67">
    <w:name w:val="active2"/>
    <w:basedOn w:val="14"/>
    <w:qFormat/>
    <w:uiPriority w:val="0"/>
    <w:rPr>
      <w:color w:val="333333"/>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Pages>
  <Words>3138</Words>
  <Characters>3486</Characters>
  <Lines>9</Lines>
  <Paragraphs>2</Paragraphs>
  <TotalTime>1</TotalTime>
  <ScaleCrop>false</ScaleCrop>
  <LinksUpToDate>false</LinksUpToDate>
  <CharactersWithSpaces>3524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2016-01-16T08:04:00Z</dcterms:created>
  <dc:creator>Billgates</dc:creator>
  <cp:lastModifiedBy>Molly</cp:lastModifiedBy>
  <cp:lastPrinted>2021-12-29T11:01:00Z</cp:lastPrinted>
  <dcterms:modified xsi:type="dcterms:W3CDTF">2023-11-01T15:19:47Z</dcterms:modified>
  <dc:title>广东省徐闻新华书店报表附注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CE48AF3B319842409ACD3EA8FE2EC111</vt:lpwstr>
  </property>
</Properties>
</file>