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20" w:lineRule="exact"/>
        <w:jc w:val="both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附件：</w:t>
      </w:r>
    </w:p>
    <w:p>
      <w:pPr>
        <w:pStyle w:val="6"/>
        <w:spacing w:line="620" w:lineRule="exact"/>
        <w:jc w:val="both"/>
        <w:rPr>
          <w:rFonts w:ascii="仿宋" w:eastAsia="仿宋"/>
          <w:sz w:val="32"/>
          <w:szCs w:val="32"/>
        </w:rPr>
      </w:pPr>
    </w:p>
    <w:p>
      <w:pPr>
        <w:pStyle w:val="6"/>
        <w:spacing w:line="620" w:lineRule="exact"/>
        <w:ind w:firstLine="723"/>
        <w:rPr>
          <w:rFonts w:hint="eastAsia" w:hAnsi="宋体"/>
          <w:szCs w:val="36"/>
        </w:rPr>
      </w:pPr>
      <w:r>
        <w:rPr>
          <w:rFonts w:hint="eastAsia" w:hAnsi="宋体"/>
          <w:szCs w:val="36"/>
        </w:rPr>
        <w:t>湛江市发展和改革局关于湛江市电动汽车</w:t>
      </w:r>
    </w:p>
    <w:p>
      <w:pPr>
        <w:pStyle w:val="6"/>
        <w:spacing w:line="620" w:lineRule="exact"/>
        <w:ind w:firstLine="723"/>
        <w:rPr>
          <w:rFonts w:hint="eastAsia" w:hAnsi="宋体"/>
          <w:szCs w:val="36"/>
        </w:rPr>
      </w:pPr>
      <w:r>
        <w:rPr>
          <w:rFonts w:hint="eastAsia" w:hAnsi="宋体"/>
          <w:szCs w:val="36"/>
        </w:rPr>
        <w:t>充电服务费标准方案</w:t>
      </w:r>
    </w:p>
    <w:p>
      <w:pPr>
        <w:pStyle w:val="7"/>
        <w:spacing w:line="620" w:lineRule="exact"/>
        <w:ind w:firstLine="880"/>
        <w:rPr>
          <w:rFonts w:ascii="方正小标宋简体" w:hAnsi="宋体" w:eastAsia="方正小标宋简体"/>
          <w:sz w:val="44"/>
          <w:szCs w:val="44"/>
        </w:rPr>
      </w:pPr>
    </w:p>
    <w:p>
      <w:pPr>
        <w:pStyle w:val="8"/>
        <w:spacing w:line="620" w:lineRule="exact"/>
        <w:rPr>
          <w:rFonts w:eastAsia="仿宋"/>
          <w:kern w:val="0"/>
          <w:szCs w:val="32"/>
        </w:rPr>
      </w:pPr>
      <w:r>
        <w:rPr>
          <w:rFonts w:eastAsia="仿宋"/>
          <w:kern w:val="0"/>
          <w:szCs w:val="32"/>
        </w:rPr>
        <w:fldChar w:fldCharType="begin"/>
      </w:r>
      <w:r>
        <w:rPr>
          <w:rFonts w:eastAsia="仿宋"/>
          <w:kern w:val="0"/>
          <w:szCs w:val="32"/>
        </w:rPr>
        <w:instrText xml:space="preserve"> </w:instrText>
      </w:r>
      <w:r>
        <w:rPr>
          <w:rFonts w:hint="eastAsia" w:eastAsia="仿宋"/>
          <w:kern w:val="0"/>
          <w:szCs w:val="32"/>
        </w:rPr>
        <w:instrText xml:space="preserve">DOCVARIABLE  FlMainSend  \* MERGEFORMAT</w:instrText>
      </w:r>
      <w:r>
        <w:rPr>
          <w:rFonts w:eastAsia="仿宋"/>
          <w:kern w:val="0"/>
          <w:szCs w:val="32"/>
        </w:rPr>
        <w:instrText xml:space="preserve"> </w:instrText>
      </w:r>
      <w:r>
        <w:rPr>
          <w:rFonts w:eastAsia="仿宋"/>
          <w:kern w:val="0"/>
          <w:szCs w:val="32"/>
        </w:rPr>
        <w:fldChar w:fldCharType="separate"/>
      </w:r>
      <w:r>
        <w:rPr>
          <w:rFonts w:eastAsia="仿宋"/>
          <w:kern w:val="0"/>
          <w:szCs w:val="32"/>
        </w:rPr>
        <w:t xml:space="preserve"> </w:t>
      </w:r>
      <w:r>
        <w:rPr>
          <w:rFonts w:eastAsia="仿宋"/>
          <w:kern w:val="0"/>
          <w:szCs w:val="32"/>
        </w:rPr>
        <w:fldChar w:fldCharType="end"/>
      </w:r>
      <w:r>
        <w:rPr>
          <w:rFonts w:hint="eastAsia" w:eastAsia="仿宋"/>
          <w:kern w:val="0"/>
          <w:szCs w:val="32"/>
        </w:rPr>
        <w:t>：</w:t>
      </w:r>
    </w:p>
    <w:p>
      <w:pPr>
        <w:spacing w:line="620" w:lineRule="exact"/>
        <w:ind w:firstLine="640"/>
        <w:rPr>
          <w:rFonts w:ascii="仿宋" w:hAnsi="仿宋"/>
          <w:szCs w:val="32"/>
        </w:rPr>
      </w:pPr>
      <w:bookmarkStart w:id="0" w:name="Body"/>
      <w:bookmarkEnd w:id="0"/>
      <w:r>
        <w:rPr>
          <w:rFonts w:hint="eastAsia" w:ascii="仿宋" w:hAnsi="仿宋"/>
          <w:szCs w:val="32"/>
        </w:rPr>
        <w:t>为促进电动汽车推广应用，根据广东省发展改革委《转发国家发展改革委关于电动汽车用电价格政策有关问题的通知》（粤发改价格</w:t>
      </w:r>
      <w:r>
        <w:rPr>
          <w:rFonts w:hint="eastAsia" w:ascii="仿宋" w:hAnsi="仿宋" w:cs="仿宋_GB2312"/>
          <w:szCs w:val="32"/>
        </w:rPr>
        <w:t>〔2014〕</w:t>
      </w:r>
      <w:r>
        <w:rPr>
          <w:rFonts w:hint="eastAsia" w:ascii="仿宋" w:hAnsi="仿宋"/>
          <w:szCs w:val="32"/>
        </w:rPr>
        <w:t>607号）和广东省发展改革委《关于做好贯彻落实广东省定价目录(2018年版)有关工作的通知》(粤发改价格函〔2018〕1912号)等文件精神，现就我市电动汽车充换电服务收费标准有关问题通知如下：</w:t>
      </w:r>
    </w:p>
    <w:p>
      <w:pPr>
        <w:spacing w:line="620" w:lineRule="exact"/>
        <w:ind w:firstLine="64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一、电动汽车充换电服务收费不含电费（电费另外按规定的电价政策收取），其收费实行政府指导价管理。</w:t>
      </w:r>
    </w:p>
    <w:p>
      <w:pPr>
        <w:spacing w:line="620" w:lineRule="exact"/>
        <w:ind w:firstLine="64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二、电动汽车充电服务费按充电量收取，试行标准为0.70元/千瓦时。此标准为最高限价，下浮不限。另根据目前我市充换电设施建设实际，暂不制定换电服务费标准。</w:t>
      </w:r>
    </w:p>
    <w:p>
      <w:pPr>
        <w:spacing w:line="620" w:lineRule="exact"/>
        <w:ind w:firstLine="64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三、充换电设施经营企业为用户单位配建充电设施实行专供服务的，充电服务费由双方协商确定。</w:t>
      </w:r>
    </w:p>
    <w:p>
      <w:pPr>
        <w:spacing w:line="620" w:lineRule="exact"/>
        <w:ind w:firstLine="64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四、充换电设施经营企业要严格执行明码标价制度，在营业场所醒目位置标示服务项目、服务内容、收费标准等内容。</w:t>
      </w:r>
    </w:p>
    <w:p>
      <w:pPr>
        <w:spacing w:line="620" w:lineRule="exact"/>
        <w:ind w:firstLine="64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五、以上规定从2019年</w:t>
      </w:r>
      <w:r>
        <w:rPr>
          <w:rFonts w:hint="eastAsia" w:ascii="仿宋" w:hAnsi="仿宋"/>
          <w:color w:val="000000"/>
          <w:szCs w:val="32"/>
        </w:rPr>
        <w:t>2月1日</w:t>
      </w:r>
      <w:r>
        <w:rPr>
          <w:rFonts w:hint="eastAsia" w:ascii="仿宋" w:hAnsi="仿宋"/>
          <w:szCs w:val="32"/>
        </w:rPr>
        <w:t>起执行，2020年后如国家无新规定，实行市场调节价。</w:t>
      </w:r>
    </w:p>
    <w:p>
      <w:pPr>
        <w:spacing w:line="620" w:lineRule="exact"/>
        <w:ind w:firstLine="64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六、电动汽车充换电经营企业应做好宣传解释工作，在执行过程中如遇到问题，请及时向我局反映。</w:t>
      </w:r>
    </w:p>
    <w:p>
      <w:pPr>
        <w:spacing w:line="620" w:lineRule="exact"/>
        <w:ind w:firstLine="640"/>
        <w:rPr>
          <w:rFonts w:hint="eastAsia" w:ascii="仿宋" w:hAnsi="仿宋"/>
          <w:szCs w:val="32"/>
        </w:rPr>
      </w:pPr>
    </w:p>
    <w:p>
      <w:pPr>
        <w:spacing w:line="620" w:lineRule="exact"/>
        <w:ind w:firstLine="640"/>
        <w:rPr>
          <w:rFonts w:hint="eastAsia" w:ascii="仿宋" w:hAnsi="仿宋"/>
          <w:szCs w:val="32"/>
        </w:rPr>
      </w:pPr>
    </w:p>
    <w:p>
      <w:pPr>
        <w:spacing w:line="620" w:lineRule="exact"/>
        <w:ind w:firstLine="640"/>
        <w:rPr>
          <w:rFonts w:ascii="仿宋" w:hAnsi="仿宋"/>
          <w:szCs w:val="32"/>
        </w:rPr>
      </w:pPr>
    </w:p>
    <w:p>
      <w:pPr>
        <w:spacing w:line="620" w:lineRule="exact"/>
        <w:ind w:right="952" w:firstLine="640"/>
        <w:jc w:val="center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 xml:space="preserve">                       湛江市发展和改革局</w:t>
      </w:r>
    </w:p>
    <w:p>
      <w:pPr>
        <w:spacing w:line="620" w:lineRule="exact"/>
        <w:ind w:right="1586" w:firstLine="640"/>
        <w:jc w:val="right"/>
        <w:rPr>
          <w:rFonts w:hint="eastAsia" w:ascii="仿宋_GB2312"/>
        </w:rPr>
      </w:pPr>
      <w:r>
        <w:rPr>
          <w:rFonts w:hint="eastAsia" w:ascii="仿宋" w:hAnsi="仿宋"/>
          <w:szCs w:val="32"/>
        </w:rPr>
        <w:t>2019</w:t>
      </w:r>
      <w:r>
        <w:rPr>
          <w:rFonts w:hint="eastAsia" w:ascii="仿宋" w:hAnsi="仿宋"/>
          <w:color w:val="000000"/>
          <w:szCs w:val="32"/>
        </w:rPr>
        <w:t>年1月9日</w:t>
      </w:r>
    </w:p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74" w:bottom="1247" w:left="1474" w:header="851" w:footer="794" w:gutter="0"/>
      <w:pgNumType w:fmt="numberInDash" w:chapStyle="1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2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hint="eastAsia"/>
      </w:rPr>
    </w:pPr>
  </w:p>
  <w:p>
    <w:pPr>
      <w:pStyle w:val="2"/>
      <w:ind w:firstLine="360"/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-186055</wp:posOffset>
              </wp:positionH>
              <wp:positionV relativeFrom="margin">
                <wp:posOffset>8982710</wp:posOffset>
              </wp:positionV>
              <wp:extent cx="6147435" cy="0"/>
              <wp:effectExtent l="0" t="13970" r="5715" b="24130"/>
              <wp:wrapNone/>
              <wp:docPr id="1" name="直接箭头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7435" cy="0"/>
                      </a:xfrm>
                      <a:prstGeom prst="straightConnector1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4.65pt;margin-top:707.3pt;height:0pt;width:484.05pt;mso-position-horizontal-relative:margin;mso-position-vertical-relative:margin;z-index:251659264;mso-width-relative:page;mso-height-relative:page;" o:connectortype="straight" filled="f" stroked="t" coordsize="21600,21600" o:gfxdata="UEsDBAoAAAAAAIdO4kAAAAAAAAAAAAAAAAAEAAAAZHJzL1BLAwQUAAAACACHTuJA9TbCAdcAAAAN&#10;AQAADwAAAGRycy9kb3ducmV2LnhtbE2PMU/DMBCFdyT+g3VIbK2TtorSEKcDEhMDou3SzY2vcWh8&#10;Drabln/PMSAY771P796rNzc3iAlD7D0pyOcZCKTWm546Bfvdy6wEEZMmowdPqOALI2ya+7taV8Zf&#10;6R2nbeoEh1CstAKb0lhJGVuLTse5H5HYO/ngdOIzdNIEfeVwN8hFlhXS6Z74g9UjPltsz9uLU1CU&#10;h9P59Q0L3drJHsLnzqf9h1KPD3n2BCLhLf3B8FOfq0PDnY7+QiaKQcFssV4yysYqXxUgGFkvS15z&#10;/JVkU8v/K5pvUEsDBBQAAAAIAIdO4kDPn4BK5QEAAJ8DAAAOAAAAZHJzL2Uyb0RvYy54bWytU0uO&#10;EzEQ3SNxB8t70kmYn1rpzCIhbBCMBBygYru7Lfknl0knl+ACSKyAFbCaPaeB4RiUnUyGzwYheuEu&#10;u6pe1Xsuzy631rCNiqi9a/hkNOZMOeGldl3DX75YPbjgDBM4CcY71fCdQn45v39vNoRaTX3vjVSR&#10;EYjDeggN71MKdVWh6JUFHPmgHDlbHy0k2saukhEGQremmo7HZ9XgowzRC4VIp8u9k88LftsqkZ61&#10;LarETMOpt1TWWNZ1Xqv5DOouQui1OLQB/9CFBe2o6BFqCQnYq6j/gLJaRI++TSPhbeXbVgtVOBCb&#10;yfg3Ns97CKpwIXEwHGXC/wcrnm6uItOS7o4zB5au6ObN9bfX728+f/r67vr7l7fZ/viBTbJUQ8Ca&#10;MhbuKh52GK5i5r1to81/YsS2Rd7dUV61TUzQ4dnk5Pzk4Sln4tZX3SWGiOmx8pZlo+GYIuiuTwvv&#10;HF2ij5MiL2yeYKLSlHibkKsax4aGTy9OzzM60By1BhKZNhAzdF1JRm+0XGljcgrGbr0wkW2AJmO1&#10;GtOXGRLwL2G5yhKw38cV135megXykZMs7QJp5mi4ee7BKsmZUfQWskWAUCfQ5m8iqbRx1EEWeS9r&#10;ttZe7ora5ZymoPR4mNg8Zj/vS/bdu5r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U2wgHXAAAA&#10;DQEAAA8AAAAAAAAAAQAgAAAAIgAAAGRycy9kb3ducmV2LnhtbFBLAQIUABQAAAAIAIdO4kDPn4BK&#10;5QEAAJ8DAAAOAAAAAAAAAAEAIAAAACYBAABkcnMvZTJvRG9jLnhtbFBLBQYAAAAABgAGAFkBAAB9&#10;BQAAAAA=&#10;">
              <v:path arrowok="t"/>
              <v:fill on="f" focussize="0,0"/>
              <v:stroke weight="2.25pt" color="#FF0000"/>
              <v:imagedata o:title=""/>
              <o:lock v:ext="edi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-186055</wp:posOffset>
              </wp:positionH>
              <wp:positionV relativeFrom="margin">
                <wp:posOffset>8937625</wp:posOffset>
              </wp:positionV>
              <wp:extent cx="6151880" cy="0"/>
              <wp:effectExtent l="0" t="0" r="0" b="0"/>
              <wp:wrapNone/>
              <wp:docPr id="2" name="直接箭头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4.65pt;margin-top:703.75pt;height:0pt;width:484.4pt;mso-position-horizontal-relative:margin;mso-position-vertical-relative:margin;z-index:251658240;mso-width-relative:page;mso-height-relative:page;" o:connectortype="straight" filled="f" stroked="t" coordsize="21600,21600" o:gfxdata="UEsDBAoAAAAAAIdO4kAAAAAAAAAAAAAAAAAEAAAAZHJzL1BLAwQUAAAACACHTuJAKNI5xNcAAAAN&#10;AQAADwAAAGRycy9kb3ducmV2LnhtbE2PMU/DMBCFdyT+g3VILKi12wZoQpwOSExMpB0Y7dhNAvE5&#10;st02+fccA6Lb3b2nd98rd5Mb2NmG2HuUsFoKYBYbb3psJRz2b4stsJgUGjV4tBJmG2FX3d6UqjD+&#10;gh/2XKeWUQjGQknoUhoLzmPTWafi0o8WSTv64FSiNbTcBHWhcDfwtRBP3Kke6UOnRvva2ea7PjkJ&#10;ujvUD3r/mYc5019TzML7nAUp7+9W4gVYslP6N8MvPqFDRUzan9BENkhYrPMNWUnIxPMjMLLkm5wG&#10;/XfiVcmvW1Q/UEsDBBQAAAAIAIdO4kAs/D+g5QEAAJ8DAAAOAAAAZHJzL2Uyb0RvYy54bWytU0uO&#10;EzEQ3SNxB8t70kmkDFErnVlMCBsEkYADVGx3tyX/5DLp5BJcAIkVsAJWs+c0MByDspPJ8NkgRC/c&#10;5U+9qvf8vLjcW8N2KqL2ruGT0Zgz5YSX2nUNf/li/WDOGSZwEox3quEHhfxyef/eYgi1mvreG6ki&#10;IxCH9RAa3qcU6qpC0SsLOPJBOdpsfbSQaBq7SkYYCN2aajoeX1SDjzJELxQira6Om3xZ8NtWifSs&#10;bVElZhpOvaUyxjJu81gtF1B3EUKvxakN+IcuLGhHRc9QK0jAXkX9B5TVInr0bRoJbyvftlqowoHY&#10;TMa/sXneQ1CFC4mD4SwT/j9Y8XS3iUzLhk85c2Dpim7eXH97/f7m86ev766/f3mb448f2DRLNQSs&#10;KePKbeJphmETM+99G23+EyO2L/IezvKqfWKCFi8ms8l8Trcgbvequ8QQMT1W3rIcNBxTBN316co7&#10;R5fo46TIC7snmKg0Jd4m5KrGsYHcN5s/nBE6kI9aA4lCG4gZuq4kozdarrUxOQVjt70yke2AnLFe&#10;j+nLDAn4l2O5ygqwP54rW0fP9ArkIydZOgTSzJG5ee7BKsmZUfQWckSAUCfQ5m9OUmnjqIMs8lHW&#10;HG29PBS1yzq5oPR4cmy22c/zkn33rp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jSOcTXAAAA&#10;DQEAAA8AAAAAAAAAAQAgAAAAIgAAAGRycy9kb3ducmV2LnhtbFBLAQIUABQAAAAIAIdO4kAs/D+g&#10;5QEAAJ8DAAAOAAAAAAAAAAEAIAAAACYBAABkcnMvZTJvRG9jLnhtbFBLBQYAAAAABgAGAFkBAAB9&#10;BQAAAAA=&#10;">
              <v:path arrowok="t"/>
              <v:fill on="f" focussize="0,0"/>
              <v:stroke weight="1.25pt" color="#FF0000"/>
              <v:imagedata o:title=""/>
              <o:lock v:ext="edit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9672F"/>
    <w:rsid w:val="754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contextualSpacing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标题"/>
    <w:basedOn w:val="7"/>
    <w:qFormat/>
    <w:uiPriority w:val="0"/>
    <w:pPr>
      <w:jc w:val="center"/>
    </w:pPr>
    <w:rPr>
      <w:rFonts w:ascii="方正小标宋简体" w:eastAsia="方正小标宋简体"/>
      <w:sz w:val="44"/>
    </w:rPr>
  </w:style>
  <w:style w:type="paragraph" w:customStyle="1" w:styleId="7">
    <w:name w:val="基本样式"/>
    <w:qFormat/>
    <w:uiPriority w:val="0"/>
    <w:pPr>
      <w:spacing w:line="560" w:lineRule="exact"/>
      <w:contextualSpacing/>
    </w:pPr>
    <w:rPr>
      <w:rFonts w:ascii="仿宋" w:hAnsi="仿宋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">
    <w:name w:val="主送机关"/>
    <w:basedOn w:val="7"/>
    <w:qFormat/>
    <w:uiPriority w:val="0"/>
  </w:style>
  <w:style w:type="paragraph" w:customStyle="1" w:styleId="9">
    <w:name w:val="奇数页码"/>
    <w:basedOn w:val="2"/>
    <w:qFormat/>
    <w:uiPriority w:val="0"/>
    <w:pPr>
      <w:ind w:right="10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customStyle="1" w:styleId="10">
    <w:name w:val="偶数页码"/>
    <w:basedOn w:val="2"/>
    <w:qFormat/>
    <w:uiPriority w:val="0"/>
    <w:pPr>
      <w:ind w:left="100" w:leftChars="100" w:firstLine="0" w:firstLineChars="0"/>
    </w:pPr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2019-01-10T02:20:00Z</dcterms:created>
  <dc:creator>Administrator</dc:creator>
  <cp:lastModifiedBy>Administrator</cp:lastModifiedBy>
  <dcterms:modified xsi:type="dcterms:W3CDTF">2019-01-10T02:21:02Z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