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宋体"/>
          <w:sz w:val="32"/>
          <w:szCs w:val="32"/>
        </w:rPr>
      </w:pPr>
      <w:bookmarkStart w:id="0" w:name="_GoBack"/>
      <w:bookmarkEnd w:id="0"/>
      <w:r>
        <w:rPr>
          <w:rFonts w:hint="eastAsia" w:ascii="黑体" w:hAnsi="黑体" w:eastAsia="黑体" w:cs="宋体"/>
          <w:sz w:val="32"/>
          <w:szCs w:val="32"/>
        </w:rPr>
        <w:t>附件：</w:t>
      </w:r>
    </w:p>
    <w:p>
      <w:pPr>
        <w:spacing w:line="600" w:lineRule="exact"/>
        <w:rPr>
          <w:rFonts w:ascii="方正小标宋简体" w:hAnsi="方正小标宋简体" w:eastAsia="方正小标宋简体" w:cs="方正小标宋简体"/>
          <w:color w:val="000000"/>
          <w:kern w:val="0"/>
          <w:sz w:val="44"/>
          <w:szCs w:val="44"/>
        </w:rPr>
      </w:pPr>
    </w:p>
    <w:p>
      <w:pPr>
        <w:spacing w:line="600" w:lineRule="exact"/>
        <w:jc w:val="center"/>
        <w:rPr>
          <w:rFonts w:cs="方正小标宋简体" w:asciiTheme="majorEastAsia" w:hAnsiTheme="majorEastAsia" w:eastAsiaTheme="majorEastAsia"/>
          <w:b/>
          <w:color w:val="000000"/>
          <w:kern w:val="0"/>
          <w:sz w:val="44"/>
          <w:szCs w:val="44"/>
        </w:rPr>
      </w:pPr>
      <w:r>
        <w:rPr>
          <w:rFonts w:hint="eastAsia" w:cs="方正小标宋简体" w:asciiTheme="majorEastAsia" w:hAnsiTheme="majorEastAsia" w:eastAsiaTheme="majorEastAsia"/>
          <w:b/>
          <w:color w:val="000000"/>
          <w:kern w:val="0"/>
          <w:sz w:val="44"/>
          <w:szCs w:val="44"/>
        </w:rPr>
        <w:t>湛江市人民政府决定取消和下放</w:t>
      </w:r>
    </w:p>
    <w:p>
      <w:pPr>
        <w:spacing w:line="600" w:lineRule="exact"/>
        <w:jc w:val="center"/>
        <w:rPr>
          <w:rFonts w:cs="楷体_GB2312" w:asciiTheme="majorEastAsia" w:hAnsiTheme="majorEastAsia" w:eastAsiaTheme="majorEastAsia"/>
          <w:b/>
          <w:color w:val="000000"/>
          <w:kern w:val="0"/>
          <w:sz w:val="44"/>
          <w:szCs w:val="44"/>
        </w:rPr>
      </w:pPr>
      <w:r>
        <w:rPr>
          <w:rFonts w:hint="eastAsia" w:cs="方正小标宋简体" w:asciiTheme="majorEastAsia" w:hAnsiTheme="majorEastAsia" w:eastAsiaTheme="majorEastAsia"/>
          <w:b/>
          <w:color w:val="000000"/>
          <w:kern w:val="0"/>
          <w:sz w:val="44"/>
          <w:szCs w:val="44"/>
        </w:rPr>
        <w:t>一批行政许可等事项目录</w:t>
      </w:r>
    </w:p>
    <w:p>
      <w:pPr>
        <w:spacing w:line="540" w:lineRule="exact"/>
        <w:jc w:val="center"/>
        <w:rPr>
          <w:rFonts w:ascii="黑体" w:hAnsi="黑体" w:eastAsia="黑体" w:cs="黑体"/>
          <w:color w:val="000000"/>
          <w:kern w:val="0"/>
          <w:sz w:val="32"/>
          <w:szCs w:val="32"/>
        </w:rPr>
      </w:pPr>
    </w:p>
    <w:p>
      <w:pPr>
        <w:spacing w:line="54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取消事项（51项）</w:t>
      </w:r>
    </w:p>
    <w:tbl>
      <w:tblPr>
        <w:tblStyle w:val="6"/>
        <w:tblW w:w="8780" w:type="dxa"/>
        <w:jc w:val="center"/>
        <w:tblInd w:w="186" w:type="dxa"/>
        <w:tblLayout w:type="fixed"/>
        <w:tblCellMar>
          <w:top w:w="15" w:type="dxa"/>
          <w:left w:w="15" w:type="dxa"/>
          <w:bottom w:w="15" w:type="dxa"/>
          <w:right w:w="15" w:type="dxa"/>
        </w:tblCellMar>
      </w:tblPr>
      <w:tblGrid>
        <w:gridCol w:w="382"/>
        <w:gridCol w:w="983"/>
        <w:gridCol w:w="930"/>
        <w:gridCol w:w="1395"/>
        <w:gridCol w:w="2933"/>
        <w:gridCol w:w="719"/>
        <w:gridCol w:w="1438"/>
      </w:tblGrid>
      <w:tr>
        <w:tblPrEx>
          <w:tblLayout w:type="fixed"/>
          <w:tblCellMar>
            <w:top w:w="15" w:type="dxa"/>
            <w:left w:w="15" w:type="dxa"/>
            <w:bottom w:w="15" w:type="dxa"/>
            <w:right w:w="15" w:type="dxa"/>
          </w:tblCellMar>
        </w:tblPrEx>
        <w:trPr>
          <w:trHeight w:val="1019" w:hRule="atLeast"/>
          <w:tblHeader/>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kern w:val="0"/>
                <w:szCs w:val="21"/>
              </w:rPr>
            </w:pPr>
            <w:r>
              <w:rPr>
                <w:rFonts w:hint="eastAsia" w:ascii="方正小标宋简体" w:hAnsi="方正小标宋简体" w:eastAsia="方正小标宋简体" w:cs="方正小标宋简体"/>
                <w:color w:val="000000"/>
                <w:kern w:val="0"/>
                <w:szCs w:val="21"/>
              </w:rPr>
              <w:t>原实施</w:t>
            </w:r>
          </w:p>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职权类别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项目名称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实施依据</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调整</w:t>
            </w:r>
            <w:r>
              <w:rPr>
                <w:rFonts w:hint="eastAsia" w:ascii="方正小标宋简体" w:hAnsi="方正小标宋简体" w:eastAsia="方正小标宋简体" w:cs="方正小标宋简体"/>
                <w:color w:val="000000"/>
                <w:kern w:val="0"/>
                <w:szCs w:val="21"/>
              </w:rPr>
              <w:br w:type="textWrapping"/>
            </w:r>
            <w:r>
              <w:rPr>
                <w:rFonts w:hint="eastAsia" w:ascii="方正小标宋简体" w:hAnsi="方正小标宋简体" w:eastAsia="方正小标宋简体" w:cs="方正小标宋简体"/>
                <w:color w:val="000000"/>
                <w:kern w:val="0"/>
                <w:szCs w:val="21"/>
              </w:rPr>
              <w:t>意见</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备注</w:t>
            </w:r>
          </w:p>
        </w:tc>
      </w:tr>
      <w:tr>
        <w:tblPrEx>
          <w:tblLayout w:type="fixed"/>
          <w:tblCellMar>
            <w:top w:w="15" w:type="dxa"/>
            <w:left w:w="15" w:type="dxa"/>
            <w:bottom w:w="15" w:type="dxa"/>
            <w:right w:w="15" w:type="dxa"/>
          </w:tblCellMar>
        </w:tblPrEx>
        <w:trPr>
          <w:cantSplit/>
          <w:trHeight w:val="2748"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市教育局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教育网站和网校审批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《互联网信息服务管理办法》（国务院令第292号）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《教育部关于加强对教育网站和网校进行管理的公告》（教技〔2000〕4号）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《教育网站和网校暂行管理办法》（教技〔2000〕5号）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346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《安全技术防范产品生产登记批准书》初审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《安全技术防范产品管理办法》（2000年国家质量技术监督局公安部令第12号）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《广东省安全技术防范管理条例》（2010年修订）</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《广东省安全技术防范管理条例实施办法》（2002年）</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二、三级文物系统风险单位安全技术防范工程设计方案审批和工程验收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《国务院办公厅关于保留部分非行政许可审批项目的通知》（国办发〔2004〕62 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《文物系统博物馆风险等级和安全防护级别的规定》（GA 27—2002）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安全技术防范产品生产登记批准书核发</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《国务院关于第六批取消和调整行政审批项目的决定》（国发〔2012〕52号）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305"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军工产品储存库风险等级认定和技术防范工程方案审核及工程验收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《军工产品储存库风险等级和安全防护级别的规定》（GA26-1992）</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《国务院关于取消和调整一批行政审批项目等事项的决定》（国发〔2015〕11号）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908"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文物系统风险单位安全技术防范工程设计方案审批和工程验收（含一级初审和二、三级审批）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《国务院办公厅关于保留部分非行政许可审批项目的通知》（国发〔2004〕62号）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《文物系统博物馆风险等级和安全防护级别的规定》（GA27—2002）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市公安边防检查站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行政确认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航行港澳船舶证明书核发</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改由市公安边防检查站实行定期或不定期检查，每年统一开展检查频率约为4次。</w:t>
            </w:r>
          </w:p>
        </w:tc>
      </w:tr>
      <w:tr>
        <w:tblPrEx>
          <w:tblLayout w:type="fixed"/>
          <w:tblCellMar>
            <w:top w:w="15" w:type="dxa"/>
            <w:left w:w="15" w:type="dxa"/>
            <w:bottom w:w="15" w:type="dxa"/>
            <w:right w:w="15" w:type="dxa"/>
          </w:tblCellMar>
        </w:tblPrEx>
        <w:trPr>
          <w:cantSplit/>
          <w:trHeight w:val="135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市民政局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非公募基金会分支机构、代表机构设立、变更、注销登记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《基金会管理条例》（国务院令第400号）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71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市民政局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全市性社会团体筹备审批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《社会团体登记管理条例》（国务院令第250号）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市民政局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社会福利基金资助项目审批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《国务院办公厅关于保留部分非行政许可审批项目的通知》（国发办〔2004〕62号）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市财政局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社会福利基金资助项目审批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《国务院办公厅关于保留部分非行政许可审批项目的通知》（国办发〔2004〕62号）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改为按专项资金预算管理。</w:t>
            </w: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市人力资源社会保障局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参照国家公务员医疗补助实施范围审批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《国务院办公厅关于保留部分非行政许可审批项目的通知》（国办发〔2004〕62号）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908"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市国土资源局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在国家地质公园地质遗迹保护区外的园区进行矿产资源勘查、开采和工程建设活动审批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《国家地质公园规划编制技术要求》（国土资发〔2010〕89号）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市国土资源局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行政备案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矿业权价款评估报告备案</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《国土资源部关于规范矿业权评估报告备案有关事项的通知》（国土资发〔2008〕182号）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市国土资源局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矿业权价款评估备案核准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《国土资源部关于规范矿业权评估报告备案有关事项的通知》（国土资发〔2008〕182号）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5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市环境保护局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建设项目试生产审批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《建设项目竣工环境保护验收管理办法》（环境保护总局令第13 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5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市环境保护局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危险化学品生产使用环境管理登记证核发</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《危险化学品安全管理条例》（国务院令第591号）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《危险化学品环境管理登记办法（试行）》（环境保护部令2012年第22号）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市环境保护局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污染场地环境恢复方案审批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《废弃危险化学品污染环境防治办法》（环保总局令2005年第27号）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761"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市住房城乡建设局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工程造价咨询单位甲级资质审批上报材料审核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《工程造价咨询企业管理办法》（建设部令2006年第149号）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622"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市住房城乡建设局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甲级工程建设项目招标代理机构资格审批上报材料审核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《中华人民共和国招标投标法》（主席令1999年第21号）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《国务院办公厅印发国务院有关部门实施招标投标活动行政监督的职责分工意见的通知》（国办发〔2000〕34号）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《工程建设项目招标代理机构资格认定办法》（2007年建设部令第154号）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219"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市住房城乡建设局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建筑业企业承包特级、一级，部分专业承包一级资质审批上报材料审核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《中华人民共和国建筑法》（2011年修正）</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《建设工程安全生产管理条例》（国务院令2003年第393号）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《建筑业企业资质管理规定》（住房和城乡建设部令2015年第22号）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53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市住房城乡建设局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甲级工程监理企业资质许可上报材料审核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《中华人民共和国建筑法》（2011年修正）</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《建设工程质量管理条例》（国务院令2000年第279号）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《工程监理企业资质管理规定》（建设部令2007年第158号）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市交通运输局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机动车维修技术人员从业资格证件颁发</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《道路运输从业人员管理规定》（交通部令 2006 年第 9 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988"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市水务局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水利工程项目建议书及可行性研究初审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《水利工程建设程序管理暂行规定》（水建〔1998〕16号）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《国家发展改革委 水利部关于加强对水库建设管理的通知》（发改农经〔2004〕1644号）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《广东省小水电管理办法》（粤府令2010年第152号）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53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市林业局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外国人对国家重点保护野生植物进行野外考察初审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《中华人民共和国野生植物保护条例》（国务院令1996年第204号）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《国务院关于第三批取消和调整行政审批事项目录的决定》（国发〔2014〕16号）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《广东省第二批扩大县级政府管理权限事项目录》（粤府令2011年第161号）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53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市商务局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设立旧机动车鉴定评估机构审批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《国务院对确需保留的行政审批项目设定行政许可的决定》（国务院令2004年第412号）</w:t>
            </w:r>
          </w:p>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《国务院关于第四批取消和调整行政审批项目的决定》（国发〔2007〕33号）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《国务院关于第六批取消和调整行政审批项目的决定》（国发〔2012〕52号）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35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市商务局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直销企业产品说明重大变更审批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《直销管理条例》（国务院令第443号）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《国务院关于第五批取消和下放管理层级行政审批项目的决定》（国发〔2016〕21号）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市卫生计生局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医疗卫生机构承担预防性健康检查审批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《预防性健康检查管理办法》（卫生部门令41号）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市工商局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外商投资广告企业项目审批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《国务院对确需保留的行政审批项目设定行政许可的决定》（国务院令第 412 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《国务院关于第六批取消和调整行政审批项目的决定》（国发〔2012〕52 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市工商局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行政确认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户外广告登记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《国务院对确需保留的行政审批项目设定行政许可的决定》（国务院令第 412 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《国务院关于第六批取消和调整行政审批项目的决定》（国发〔2012〕52 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市工商局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外商投资广告企业设立分支机构审批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《国务院对确需保留的行政审批项目设定行政许可决定》（国务院令2004年第412号）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《国务院关于第六批取消和调整行政审批项目的决定》（国发〔2012〕52号）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988"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市质监局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建立社会公正计量行（站）审批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《社会公正计量行（站）监督管理办法》（原国家技术监督局1995年第41号令）</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《广东省人民政府转发〈国务院关于同意广东省“十二五”时期深化行政审批制度改革先行先试的批复〉的通知》（粤府函〔2012〕335号）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原为湛江市质量技术监督协会实施。</w:t>
            </w:r>
          </w:p>
        </w:tc>
      </w:tr>
      <w:tr>
        <w:tblPrEx>
          <w:tblLayout w:type="fixed"/>
          <w:tblCellMar>
            <w:top w:w="15" w:type="dxa"/>
            <w:left w:w="15" w:type="dxa"/>
            <w:bottom w:w="15" w:type="dxa"/>
            <w:right w:w="15" w:type="dxa"/>
          </w:tblCellMar>
        </w:tblPrEx>
        <w:trPr>
          <w:cantSplit/>
          <w:trHeight w:val="159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市质监局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行政备案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珠宝玉石质量检验师执业资格注册</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《珠宝玉石质量检验师执业资格注册管理办法》（国质检人〔2004〕501号）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《广东省人民政府第四轮行政审批事项调整目录》（粤府令2009年142号）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59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市质监局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行政备案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棉花质量检验师执业资格注册</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《棉花质量检验师执业资格注册管理办法》（国质检人〔2004〕499号）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《广东省人民政府第四轮行政审批事项调整目录》（粤府令2009年142号）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71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市体育局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二级裁判员审批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《全国体育竞赛裁判员管理办法（试行）》(体竞字〔1999〕153号）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2219"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市安全监管局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非煤矿山、危险化学品生产经营单位、烟花爆竹经营单位主要负责人和安全生产管理人员任职资格认定初审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《中华人民共和国安全生产法》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地方对内水、领海范围内的海底电缆管道铺设路由调查勘测、铺设施工审批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《铺设海底电缆管道管理规定》（国务院令1989年第27号）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《铺设海底电缆管道管理规定实施办法》（国家海洋局令1992年第3号）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59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渔业部门管理的国家级自然保护区的实验区开展参观、旅游活动审批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《广东省人民政府2012年行政审批制度改革事项目录(第一批)》（粤府令2012年第169号）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原省海洋渔业局委托市海洋渔业局实施。</w:t>
            </w: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海域海岸带整治修复项目（海域类）初审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《国务院关于全国海洋功能区划（2011-2020年）的批复》（国函〔2012〕13号）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35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海岛整治修复项目实施方案初审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《海域使用金使用管理暂行办法》（财建〔2009〕491号）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《无居民海岛使用金征收使用管理办法》（财综〔2010〕44号）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71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海岛整治项目修复验收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《海域使用金使用管理办法》（财建〔2009〕491号）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市海洋渔业局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免税引进水产苗种审核</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《农业部办公厅关于印发&lt;关于种子（苗）进口税收优惠政策实施细则&gt;的通知》（农办外〔2009〕7号）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974"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市城市综合管理局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占用城市道路作为集贸市场审批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《城市道路管理条例》（国务院令1996年第198号）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市城市综合管理局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市区饲养家畜家禽审批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《城市市容和环境卫生管理条例》（国务院令第101号，2011年1月8日予以修改）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353"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市政府金融局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代办转报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融资性担保机构的董事、监事和高级管理人员任职资格核准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《广东省&lt;融资性担保公司管理暂行办法&gt;实施细则》（粤府令2010年第149号）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市人防办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中型及以下单建人防工程、防空地下室施工图设计文件审批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《人民防空工程施工图设计文件审查管理办法》（国人防〔2009〕282号）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《国家人民防空办公室关于调整人民防空建设审批事项的通知》（国人防〔2014〕235号）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670"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市人防办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人民防空工程（防空地下室）施工图设计文件审批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《人民防空工程施工图设计文件审查管理办法》（国人防办〔2009〕282号）</w:t>
            </w:r>
          </w:p>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《国家人民防空办公室关于调整人民防空建设审批事项的通知》（国人防〔2014〕235号）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717"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市档案局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利用市档案馆未开放档案的审批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《中华人民共和国档案管理法实施办法》(国家档案局令1999年第5号修订)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28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市地税局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对律师事务所征收方式的核准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《国家税务总局关于强化律师事务所等中介机构投资者个人所得税套账征收的通知》（国税发〔2002〕123号）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1036"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市地税局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非居民享受税收协定（含与港澳台协议）待遇审批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《非居民享受税收协定待遇管理办法（试行）》（国税发〔2009〕124号）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cantSplit/>
          <w:trHeight w:val="739" w:hRule="atLeast"/>
          <w:jc w:val="center"/>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市气象局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施放气球资质证年检</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《施放气球管理办法》（中国气象局令2004年第9号）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取消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szCs w:val="21"/>
              </w:rPr>
            </w:pPr>
          </w:p>
        </w:tc>
      </w:tr>
    </w:tbl>
    <w:p>
      <w:pPr>
        <w:jc w:val="center"/>
        <w:rPr>
          <w:rFonts w:ascii="黑体" w:hAnsi="黑体" w:eastAsia="黑体" w:cs="黑体"/>
          <w:color w:val="000000"/>
          <w:kern w:val="0"/>
          <w:sz w:val="32"/>
          <w:szCs w:val="32"/>
        </w:rPr>
      </w:pPr>
    </w:p>
    <w:p>
      <w:pPr>
        <w:rPr>
          <w:rFonts w:hint="eastAsia" w:ascii="黑体" w:hAnsi="黑体" w:eastAsia="黑体" w:cs="黑体"/>
          <w:color w:val="000000"/>
          <w:kern w:val="0"/>
          <w:sz w:val="32"/>
          <w:szCs w:val="32"/>
        </w:rPr>
      </w:pPr>
    </w:p>
    <w:p>
      <w:pPr>
        <w:rPr>
          <w:rFonts w:ascii="黑体" w:hAnsi="黑体" w:eastAsia="黑体" w:cs="黑体"/>
          <w:color w:val="000000"/>
          <w:kern w:val="0"/>
          <w:sz w:val="32"/>
          <w:szCs w:val="32"/>
        </w:rPr>
      </w:pPr>
    </w:p>
    <w:p>
      <w:p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下放项目（4项）</w:t>
      </w:r>
    </w:p>
    <w:tbl>
      <w:tblPr>
        <w:tblStyle w:val="6"/>
        <w:tblW w:w="8900" w:type="dxa"/>
        <w:tblInd w:w="0" w:type="dxa"/>
        <w:tblLayout w:type="fixed"/>
        <w:tblCellMar>
          <w:top w:w="15" w:type="dxa"/>
          <w:left w:w="15" w:type="dxa"/>
          <w:bottom w:w="15" w:type="dxa"/>
          <w:right w:w="15" w:type="dxa"/>
        </w:tblCellMar>
      </w:tblPr>
      <w:tblGrid>
        <w:gridCol w:w="519"/>
        <w:gridCol w:w="1163"/>
        <w:gridCol w:w="966"/>
        <w:gridCol w:w="1361"/>
        <w:gridCol w:w="2968"/>
        <w:gridCol w:w="852"/>
        <w:gridCol w:w="1071"/>
      </w:tblGrid>
      <w:tr>
        <w:tblPrEx>
          <w:tblLayout w:type="fixed"/>
          <w:tblCellMar>
            <w:top w:w="15" w:type="dxa"/>
            <w:left w:w="15" w:type="dxa"/>
            <w:bottom w:w="15" w:type="dxa"/>
            <w:right w:w="15" w:type="dxa"/>
          </w:tblCellMar>
        </w:tblPrEx>
        <w:trPr>
          <w:trHeight w:val="71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原实施单位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职权类别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项目名称</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实施依据</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调整</w:t>
            </w:r>
            <w:r>
              <w:rPr>
                <w:rFonts w:hint="eastAsia" w:ascii="方正小标宋简体" w:hAnsi="方正小标宋简体" w:eastAsia="方正小标宋简体" w:cs="方正小标宋简体"/>
                <w:color w:val="000000"/>
                <w:kern w:val="0"/>
                <w:szCs w:val="21"/>
              </w:rPr>
              <w:br w:type="textWrapping"/>
            </w:r>
            <w:r>
              <w:rPr>
                <w:rFonts w:hint="eastAsia" w:ascii="方正小标宋简体" w:hAnsi="方正小标宋简体" w:eastAsia="方正小标宋简体" w:cs="方正小标宋简体"/>
                <w:color w:val="000000"/>
                <w:kern w:val="0"/>
                <w:szCs w:val="21"/>
              </w:rPr>
              <w:t>意见</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备注</w:t>
            </w:r>
          </w:p>
        </w:tc>
      </w:tr>
      <w:tr>
        <w:tblPrEx>
          <w:tblLayout w:type="fixed"/>
          <w:tblCellMar>
            <w:top w:w="15" w:type="dxa"/>
            <w:left w:w="15" w:type="dxa"/>
            <w:bottom w:w="15" w:type="dxa"/>
            <w:right w:w="15" w:type="dxa"/>
          </w:tblCellMar>
        </w:tblPrEx>
        <w:trPr>
          <w:trHeight w:val="1674"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市教育局</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义务教育阶段学校设立、变更、终止审批</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《中华人民共和国教育法》（1995年）</w:t>
            </w:r>
          </w:p>
          <w:p>
            <w:pPr>
              <w:widowControl/>
              <w:spacing w:line="32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《中华人民共和国教育促进法》（2013年修正）</w:t>
            </w:r>
          </w:p>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《广东省普及九年制义务教育实施办法》（1991年修正）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下放各县（市、区）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_GB2312" w:hAnsi="仿宋_GB2312" w:eastAsia="仿宋_GB2312" w:cs="仿宋_GB2312"/>
                <w:b/>
                <w:color w:val="000000"/>
                <w:szCs w:val="21"/>
              </w:rPr>
            </w:pPr>
          </w:p>
        </w:tc>
      </w:tr>
      <w:tr>
        <w:tblPrEx>
          <w:tblLayout w:type="fixed"/>
        </w:tblPrEx>
        <w:trPr>
          <w:trHeight w:val="136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市教育局</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校车使用许可</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《校车安全管理条例》（国务院令2012年第617号）</w:t>
            </w:r>
          </w:p>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《关于进一步加强安全管理有关问题的通知》（粤教〔2012〕6号）</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下放各县（市、区）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_GB2312" w:hAnsi="仿宋_GB2312" w:eastAsia="仿宋_GB2312" w:cs="仿宋_GB2312"/>
                <w:b/>
                <w:color w:val="000000"/>
                <w:szCs w:val="21"/>
              </w:rPr>
            </w:pPr>
          </w:p>
        </w:tc>
      </w:tr>
      <w:tr>
        <w:tblPrEx>
          <w:tblLayout w:type="fixed"/>
          <w:tblCellMar>
            <w:top w:w="15" w:type="dxa"/>
            <w:left w:w="15" w:type="dxa"/>
            <w:bottom w:w="15" w:type="dxa"/>
            <w:right w:w="15" w:type="dxa"/>
          </w:tblCellMar>
        </w:tblPrEx>
        <w:trPr>
          <w:trHeight w:val="120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市国土资源局</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临时用地审批</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《中华人民共和国土地管理法》</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下放各县（市、区）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_GB2312" w:hAnsi="仿宋_GB2312" w:eastAsia="仿宋_GB2312" w:cs="仿宋_GB2312"/>
                <w:color w:val="000000"/>
                <w:szCs w:val="21"/>
              </w:rPr>
            </w:pPr>
          </w:p>
        </w:tc>
      </w:tr>
      <w:tr>
        <w:tblPrEx>
          <w:tblLayout w:type="fixed"/>
        </w:tblPrEx>
        <w:trPr>
          <w:trHeight w:val="2337"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市国土资源局</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行政许可</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土地复垦方案审批及验收确认</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《土地复垦条例》（国务院令2011年第592号）</w:t>
            </w:r>
          </w:p>
          <w:p>
            <w:pPr>
              <w:widowControl/>
              <w:spacing w:line="32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《广东省人民政府第四轮行政审批事项调整目录》（粤府令2009年第142号）</w:t>
            </w:r>
          </w:p>
          <w:p>
            <w:pPr>
              <w:widowControl/>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《广东省第二批扩大县级政府管理权限事项目录》（粤府令2011年第161号）</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下放各县（市）国土资源部门</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_GB2312" w:hAnsi="仿宋_GB2312" w:eastAsia="仿宋_GB2312" w:cs="仿宋_GB2312"/>
                <w:color w:val="000000"/>
                <w:szCs w:val="21"/>
              </w:rPr>
            </w:pPr>
          </w:p>
        </w:tc>
      </w:tr>
    </w:tbl>
    <w:p>
      <w:pPr>
        <w:pStyle w:val="2"/>
        <w:spacing w:line="480" w:lineRule="exact"/>
        <w:rPr>
          <w:rFonts w:hint="eastAsia" w:ascii="仿宋_GB2312" w:hAnsi="宋体" w:eastAsia="仿宋_GB2312" w:cs="宋体"/>
          <w:sz w:val="32"/>
          <w:szCs w:val="32"/>
        </w:rPr>
      </w:pPr>
    </w:p>
    <w:p>
      <w:pPr>
        <w:pStyle w:val="2"/>
        <w:spacing w:line="480" w:lineRule="exact"/>
        <w:rPr>
          <w:rFonts w:hint="eastAsia" w:ascii="仿宋_GB2312" w:hAnsi="宋体" w:eastAsia="仿宋_GB2312" w:cs="宋体"/>
          <w:sz w:val="32"/>
          <w:szCs w:val="32"/>
        </w:rPr>
      </w:pPr>
    </w:p>
    <w:p>
      <w:pPr>
        <w:pStyle w:val="2"/>
        <w:spacing w:line="480" w:lineRule="exact"/>
        <w:rPr>
          <w:rFonts w:hint="eastAsia" w:ascii="仿宋_GB2312" w:hAnsi="宋体" w:eastAsia="仿宋_GB2312" w:cs="宋体"/>
          <w:sz w:val="32"/>
          <w:szCs w:val="32"/>
        </w:rPr>
      </w:pPr>
      <w:r>
        <w:rPr>
          <w:rFonts w:hint="eastAsia" w:ascii="黑体" w:hAnsi="黑体" w:eastAsia="黑体" w:cs="宋体"/>
          <w:sz w:val="32"/>
          <w:szCs w:val="32"/>
        </w:rPr>
        <w:t>公开方式：</w:t>
      </w:r>
      <w:r>
        <w:rPr>
          <w:rFonts w:hint="eastAsia" w:ascii="仿宋_GB2312" w:hAnsi="宋体" w:eastAsia="仿宋_GB2312" w:cs="宋体"/>
          <w:sz w:val="32"/>
          <w:szCs w:val="32"/>
        </w:rPr>
        <w:t>主动公开</w:t>
      </w:r>
    </w:p>
    <w:p>
      <w:pPr>
        <w:pStyle w:val="2"/>
        <w:spacing w:line="480" w:lineRule="exact"/>
        <w:rPr>
          <w:rFonts w:hint="eastAsia" w:ascii="仿宋_GB2312" w:hAnsi="宋体" w:eastAsia="仿宋_GB2312" w:cs="宋体"/>
          <w:sz w:val="32"/>
          <w:szCs w:val="32"/>
        </w:rPr>
      </w:pPr>
      <w:r>
        <w:rPr>
          <w:rFonts w:hint="eastAsia" w:ascii="仿宋_GB2312" w:hAnsi="宋体" w:eastAsia="仿宋_GB2312" w:cs="宋体"/>
          <w:sz w:val="28"/>
          <w:szCs w:val="28"/>
        </w:rPr>
        <w:pict>
          <v:shape id="_x0000_s2051" o:spid="_x0000_s2051" o:spt="32" type="#_x0000_t32" style="position:absolute;left:0pt;margin-left:-0.95pt;margin-top:15.7pt;height:0pt;width:448.5pt;z-index:251659264;mso-width-relative:page;mso-height-relative:page;" o:connectortype="straight" filled="f" coordsize="21600,21600">
            <v:path arrowok="t"/>
            <v:fill on="f" focussize="0,0"/>
            <v:stroke weight="1pt"/>
            <v:imagedata o:title=""/>
            <o:lock v:ext="edit"/>
          </v:shape>
        </w:pict>
      </w:r>
    </w:p>
    <w:p>
      <w:pPr>
        <w:pStyle w:val="2"/>
        <w:spacing w:line="480" w:lineRule="exact"/>
        <w:ind w:left="1159" w:leftChars="152" w:right="311" w:rightChars="148" w:hanging="840" w:hangingChars="300"/>
        <w:rPr>
          <w:rFonts w:hint="eastAsia" w:ascii="仿宋_GB2312" w:hAnsi="宋体" w:eastAsia="仿宋_GB2312" w:cs="宋体"/>
          <w:sz w:val="28"/>
          <w:szCs w:val="28"/>
        </w:rPr>
      </w:pPr>
      <w:r>
        <w:rPr>
          <w:rFonts w:hint="eastAsia" w:ascii="仿宋_GB2312" w:hAnsi="宋体" w:eastAsia="仿宋_GB2312" w:cs="宋体"/>
          <w:sz w:val="28"/>
          <w:szCs w:val="28"/>
        </w:rPr>
        <w:t>抄送：市委各部委办,市人大常委会办公室，市政协办公室，市纪委办公室，驻湛各部队，市中级法院，市检察院，中央、省驻湛各单位，各人民团体，各大专院校，各新闻媒体。</w:t>
      </w:r>
    </w:p>
    <w:p>
      <w:pPr>
        <w:pStyle w:val="2"/>
        <w:spacing w:line="480" w:lineRule="exact"/>
        <w:rPr>
          <w:rFonts w:hint="eastAsia" w:ascii="仿宋_GB2312" w:hAnsi="宋体" w:eastAsia="仿宋_GB2312" w:cs="宋体"/>
          <w:sz w:val="18"/>
          <w:szCs w:val="18"/>
        </w:rPr>
      </w:pPr>
      <w:r>
        <w:rPr>
          <w:rFonts w:hint="eastAsia" w:ascii="仿宋_GB2312" w:hAnsi="宋体" w:eastAsia="仿宋_GB2312" w:cs="宋体"/>
          <w:sz w:val="28"/>
          <w:szCs w:val="28"/>
        </w:rPr>
        <w:pict>
          <v:shape id="_x0000_s2050" o:spid="_x0000_s2050" o:spt="32" type="#_x0000_t32" style="position:absolute;left:0pt;margin-left:-0.95pt;margin-top:18.4pt;height:0pt;width:448.5pt;z-index:251658240;mso-width-relative:page;mso-height-relative:page;" o:connectortype="straight" filled="f" coordsize="21600,21600">
            <v:path arrowok="t"/>
            <v:fill on="f" focussize="0,0"/>
            <v:stroke/>
            <v:imagedata o:title=""/>
            <o:lock v:ext="edit"/>
          </v:shape>
        </w:pict>
      </w:r>
    </w:p>
    <w:p>
      <w:pPr>
        <w:pStyle w:val="2"/>
        <w:spacing w:line="480" w:lineRule="exact"/>
        <w:ind w:firstLine="280" w:firstLineChars="100"/>
        <w:rPr>
          <w:rFonts w:hint="eastAsia" w:ascii="仿宋_GB2312" w:hAnsi="宋体" w:eastAsia="仿宋_GB2312" w:cs="宋体"/>
          <w:sz w:val="28"/>
          <w:szCs w:val="28"/>
        </w:rPr>
      </w:pPr>
      <w:r>
        <w:rPr>
          <w:rFonts w:hint="eastAsia" w:ascii="仿宋_GB2312" w:hAnsi="宋体" w:eastAsia="仿宋_GB2312" w:cs="宋体"/>
          <w:sz w:val="28"/>
          <w:szCs w:val="28"/>
        </w:rPr>
        <w:pict>
          <v:shape id="_x0000_s2052" o:spid="_x0000_s2052" o:spt="32" type="#_x0000_t32" style="position:absolute;left:0pt;margin-left:-0.95pt;margin-top:38.05pt;height:0pt;width:448.5pt;z-index:251660288;mso-width-relative:page;mso-height-relative:page;" o:connectortype="straight" filled="f" coordsize="21600,21600">
            <v:path arrowok="t"/>
            <v:fill on="f" focussize="0,0"/>
            <v:stroke weight="1pt"/>
            <v:imagedata o:title=""/>
            <o:lock v:ext="edit"/>
          </v:shape>
        </w:pict>
      </w:r>
      <w:r>
        <w:rPr>
          <w:rFonts w:hint="eastAsia" w:ascii="仿宋_GB2312" w:hAnsi="宋体" w:eastAsia="仿宋_GB2312" w:cs="宋体"/>
          <w:sz w:val="28"/>
          <w:szCs w:val="28"/>
        </w:rPr>
        <w:t>湛江市人民政府办公室            2017年5月11日印发</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7294"/>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794A"/>
    <w:rsid w:val="004E07E5"/>
    <w:rsid w:val="004F4732"/>
    <w:rsid w:val="00582E4E"/>
    <w:rsid w:val="005C300D"/>
    <w:rsid w:val="00657B05"/>
    <w:rsid w:val="006A1EAD"/>
    <w:rsid w:val="00A209FA"/>
    <w:rsid w:val="00B24CB3"/>
    <w:rsid w:val="00C745AD"/>
    <w:rsid w:val="00ED794A"/>
    <w:rsid w:val="3413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纯文本 Char"/>
    <w:basedOn w:val="5"/>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929</Words>
  <Characters>5297</Characters>
  <Lines>44</Lines>
  <Paragraphs>12</Paragraphs>
  <TotalTime>0</TotalTime>
  <ScaleCrop>false</ScaleCrop>
  <LinksUpToDate>false</LinksUpToDate>
  <CharactersWithSpaces>6214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2017-05-25T07:14:00Z</dcterms:created>
  <dc:creator>陈晓娴</dc:creator>
  <cp:lastModifiedBy>Administrator</cp:lastModifiedBy>
  <dcterms:modified xsi:type="dcterms:W3CDTF">2017-06-07T09:53:43Z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